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1440"/>
        <w:jc w:val="center"/>
      </w:pPr>
      <w:r>
        <w:rPr>
          <w:rFonts w:ascii="Arial" w:cs="Arial" w:eastAsia="Arial" w:hAnsi="Arial"/>
          <w:b/>
          <w:bCs/>
          <w:color w:val="1F4E79"/>
          <w:sz w:val="40"/>
          <w:szCs w:val="40"/>
        </w:rPr>
        <w:t xml:space="preserve">Formal Falsification of IID Compatibility:</w:t>
      </w:r>
    </w:p>
    <w:p>
      <w:pPr>
        <w:spacing w:after="480" w:before="0"/>
        <w:jc w:val="center"/>
      </w:pPr>
      <w:r>
        <w:rPr>
          <w:rFonts w:ascii="Arial" w:cs="Arial" w:eastAsia="Arial" w:hAnsi="Arial"/>
          <w:b/>
          <w:bCs/>
          <w:color w:val="1F4E79"/>
          <w:sz w:val="32"/>
          <w:szCs w:val="32"/>
        </w:rPr>
        <w:t xml:space="preserve">Support Violation and Structural Constraints in Number Generation</w:t>
      </w:r>
    </w:p>
    <w:p>
      <w:pPr>
        <w:spacing w:after="120" w:before="0"/>
        <w:jc w:val="center"/>
      </w:pPr>
      <w:r>
        <w:rPr>
          <w:rFonts w:ascii="Arial" w:cs="Arial" w:eastAsia="Arial" w:hAnsi="Arial"/>
          <w:b/>
          <w:bCs/>
          <w:sz w:val="28"/>
          <w:szCs w:val="28"/>
        </w:rPr>
        <w:t xml:space="preserve">Version 18</w:t>
      </w:r>
    </w:p>
    <w:p>
      <w:pPr>
        <w:spacing w:after="480" w:before="0"/>
        <w:jc w:val="center"/>
      </w:pPr>
      <w:r>
        <w:rPr>
          <w:rFonts w:ascii="Arial" w:cs="Arial" w:eastAsia="Arial" w:hAnsi="Arial"/>
          <w:i/>
          <w:iCs/>
          <w:sz w:val="22"/>
          <w:szCs w:val="22"/>
        </w:rPr>
        <w:t xml:space="preserve">Including: Permutation Test, Ablation Matrix, and Formula 9 Mechanistic Reconstruction</w:t>
      </w:r>
    </w:p>
    <w:p>
      <w:pPr>
        <w:pBdr>
          <w:bottom w:val="single" w:color="1F4E79" w:sz="6" w:space="1"/>
        </w:pBdr>
        <w:spacing w:after="120" w:before="120"/>
      </w:pPr>
    </w:p>
    <w:p>
      <w:pPr>
        <w:spacing w:after="80" w:before="240"/>
        <w:jc w:val="center"/>
      </w:pPr>
      <w:r>
        <w:rPr>
          <w:rFonts w:ascii="Arial" w:cs="Arial" w:eastAsia="Arial" w:hAnsi="Arial"/>
          <w:b/>
          <w:bCs/>
          <w:sz w:val="24"/>
          <w:szCs w:val="24"/>
        </w:rPr>
        <w:t xml:space="preserve">Natural Organization Institute</w:t>
      </w:r>
    </w:p>
    <w:p>
      <w:pPr>
        <w:spacing w:after="80" w:before="0"/>
        <w:jc w:val="center"/>
      </w:pPr>
      <w:r>
        <w:rPr>
          <w:rFonts w:ascii="Arial" w:cs="Arial" w:eastAsia="Arial" w:hAnsi="Arial"/>
          <w:sz w:val="22"/>
          <w:szCs w:val="22"/>
        </w:rPr>
        <w:t xml:space="preserve">Paul Bryant Van Slyke</w:t>
      </w:r>
    </w:p>
    <w:p>
      <w:pPr>
        <w:spacing w:after="80" w:before="0"/>
        <w:jc w:val="center"/>
      </w:pPr>
      <w:r>
        <w:rPr>
          <w:rFonts w:ascii="Arial" w:cs="Arial" w:eastAsia="Arial" w:hAnsi="Arial"/>
          <w:sz w:val="22"/>
          <w:szCs w:val="22"/>
        </w:rPr>
        <w:t xml:space="preserve">Lyons, Colorado</w:t>
      </w:r>
    </w:p>
    <w:p>
      <w:pPr>
        <w:spacing w:after="480" w:before="0"/>
        <w:jc w:val="center"/>
      </w:pPr>
      <w:r>
        <w:rPr>
          <w:rFonts w:ascii="Arial" w:cs="Arial" w:eastAsia="Arial" w:hAnsi="Arial"/>
          <w:color w:val="0563C1"/>
          <w:sz w:val="22"/>
          <w:szCs w:val="22"/>
        </w:rPr>
        <w:t xml:space="preserve">naturalorganization.org</w:t>
      </w:r>
    </w:p>
    <w:p>
      <w:pPr>
        <w:spacing w:after="80" w:before="0"/>
        <w:jc w:val="center"/>
      </w:pPr>
      <w:r>
        <w:rPr>
          <w:rFonts w:ascii="Arial" w:cs="Arial" w:eastAsia="Arial" w:hAnsi="Arial"/>
          <w:i/>
          <w:iCs/>
          <w:sz w:val="20"/>
          <w:szCs w:val="20"/>
        </w:rPr>
        <w:t xml:space="preserve">Technical Assessment Report  |  June 2026</w:t>
      </w:r>
    </w:p>
    <w:p>
      <w:pPr>
        <w:spacing w:after="1440" w:before="0"/>
        <w:jc w:val="center"/>
      </w:pPr>
      <w:r>
        <w:rPr>
          <w:rFonts w:ascii="Arial" w:cs="Arial" w:eastAsia="Arial" w:hAnsi="Arial"/>
          <w:i/>
          <w:iCs/>
          <w:sz w:val="20"/>
          <w:szCs w:val="20"/>
        </w:rPr>
        <w:t xml:space="preserve">Pre-specification date: November 21, 2025</w:t>
      </w:r>
    </w:p>
    <w:p>
      <w:r>
        <w:br w:type="page"/>
      </w:r>
    </w:p>
    <w:p>
      <w:pPr>
        <w:pStyle w:val="Heading1"/>
        <w:spacing w:after="200" w:before="360"/>
      </w:pPr>
      <w:r>
        <w:rPr>
          <w:rFonts w:ascii="Arial" w:cs="Arial" w:eastAsia="Arial" w:hAnsi="Arial"/>
          <w:b/>
          <w:bCs/>
          <w:color w:val="1F4E79"/>
          <w:sz w:val="32"/>
          <w:szCs w:val="32"/>
        </w:rPr>
        <w:t xml:space="preserve">Abstract</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This report presents formal falsification of the IID hypothesis for the analyzed number generation system. Through thirteen independent analytical findings spanning five methodological frameworks, applied to 1,703,454 consecutive draws over 13 years, we demonstrate systematic structural constraints that are inconsistent with any IID generating process.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All analytical parameters were pre-specified in production application code dated November 21, 2025 — three months before the formal analysis was completed. The findings are confirmed by a permutation test establishing temporal dependence, an ablation matrix establishing differentiated structural dependencies across five independent interventions, and a Formula 9 mechanistic reconstruction characterizing the mechanism class on empirically-derived parameters.</w:t>
      </w:r>
    </w:p>
    <w:p>
      <w:pPr>
        <w:spacing w:after="80" w:before="80"/>
      </w:pPr>
      <w:r>
        <w:t xml:space="preserve"/>
      </w:r>
    </w:p>
    <w:p>
      <w:pPr>
        <w:spacing w:after="80" w:before="80"/>
        <w:jc w:val="left"/>
      </w:pPr>
      <w:r>
        <w:rPr>
          <w:rFonts w:ascii="Arial" w:cs="Arial" w:eastAsia="Arial" w:hAnsi="Arial"/>
          <w:b w:val="false"/>
          <w:bCs w:val="false"/>
          <w:i/>
          <w:iCs/>
          <w:color w:val="000000"/>
          <w:sz w:val="22"/>
          <w:szCs w:val="22"/>
        </w:rPr>
        <w:t xml:space="preserve">The observed outputs are incompatible with IID generation. A specific mechanism class — coherence-state feedback control operating at the identity level — is consistent with all thirteen findings on empirically-derived parameters. No IID process is consistent with this combination of outputs. Source inspection is the logical next step.</w:t>
      </w:r>
    </w:p>
    <w:p>
      <w:r>
        <w:br w:type="page"/>
      </w:r>
    </w:p>
    <w:p>
      <w:pPr>
        <w:pStyle w:val="Heading1"/>
        <w:spacing w:after="200" w:before="360"/>
      </w:pPr>
      <w:r>
        <w:rPr>
          <w:rFonts w:ascii="Arial" w:cs="Arial" w:eastAsia="Arial" w:hAnsi="Arial"/>
          <w:b/>
          <w:bCs/>
          <w:color w:val="1F4E79"/>
          <w:sz w:val="32"/>
          <w:szCs w:val="32"/>
        </w:rPr>
        <w:t xml:space="preserve">1. Introduction: Formal IID Requirements</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1.1 Mathematical Framework</w:t>
      </w:r>
    </w:p>
    <w:p>
      <w:pPr>
        <w:spacing w:after="80" w:before="80"/>
        <w:jc w:val="left"/>
      </w:pPr>
      <w:r>
        <w:rPr>
          <w:rFonts w:ascii="Arial" w:cs="Arial" w:eastAsia="Arial" w:hAnsi="Arial"/>
          <w:b w:val="false"/>
          <w:bCs w:val="false"/>
          <w:i w:val="false"/>
          <w:iCs w:val="false"/>
          <w:color w:val="000000"/>
          <w:sz w:val="22"/>
          <w:szCs w:val="22"/>
        </w:rPr>
        <w:t xml:space="preserve">We analyze a system producing outputs on an 8×10 topological grid, with each output consisting of k = 20 numbers from {1, 2, ..., 80}. The system claims to operate as an IID process.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Definition: A sequence {X₁, X₂, ..., Xₙ} is IID if:</w:t>
      </w:r>
    </w:p>
    <w:p>
      <w:pPr>
        <w:pStyle w:val="ListParagraph"/>
        <w:numPr>
          <w:ilvl w:val="0"/>
          <w:numId w:val="2"/>
        </w:numPr>
        <w:spacing w:after="60" w:before="60"/>
      </w:pPr>
      <w:r>
        <w:rPr>
          <w:rFonts w:ascii="Arial" w:cs="Arial" w:eastAsia="Arial" w:hAnsi="Arial"/>
          <w:sz w:val="22"/>
          <w:szCs w:val="22"/>
        </w:rPr>
        <w:t xml:space="preserve">Xᵢ ~ P for all i (identical distribution)</w:t>
      </w:r>
    </w:p>
    <w:p>
      <w:pPr>
        <w:pStyle w:val="ListParagraph"/>
        <w:numPr>
          <w:ilvl w:val="0"/>
          <w:numId w:val="2"/>
        </w:numPr>
        <w:spacing w:after="60" w:before="60"/>
      </w:pPr>
      <w:r>
        <w:rPr>
          <w:rFonts w:ascii="Arial" w:cs="Arial" w:eastAsia="Arial" w:hAnsi="Arial"/>
          <w:sz w:val="22"/>
          <w:szCs w:val="22"/>
        </w:rPr>
        <w:t xml:space="preserve">P(Xᵢ ∈ A | Xⱼ ∈ B) = P(Xᵢ ∈ A) for all i ≠ j (independence)</w:t>
      </w:r>
    </w:p>
    <w:p>
      <w:pPr>
        <w:pStyle w:val="ListParagraph"/>
        <w:numPr>
          <w:ilvl w:val="0"/>
          <w:numId w:val="2"/>
        </w:numPr>
        <w:spacing w:after="120" w:before="60"/>
      </w:pPr>
      <w:r>
        <w:rPr>
          <w:rFonts w:ascii="Arial" w:cs="Arial" w:eastAsia="Arial" w:hAnsi="Arial"/>
          <w:sz w:val="22"/>
          <w:szCs w:val="22"/>
        </w:rPr>
        <w:t xml:space="preserve">Marginal frequencies converge to theoretical probabilities (Law of Large Numbers)</w:t>
      </w:r>
    </w:p>
    <w:p>
      <w:pPr>
        <w:pStyle w:val="Heading2"/>
        <w:spacing w:after="120" w:before="240"/>
      </w:pPr>
      <w:r>
        <w:rPr>
          <w:rFonts w:ascii="Arial" w:cs="Arial" w:eastAsia="Arial" w:hAnsi="Arial"/>
          <w:b/>
          <w:bCs/>
          <w:color w:val="1F4E79"/>
          <w:sz w:val="26"/>
          <w:szCs w:val="26"/>
        </w:rPr>
        <w:t xml:space="preserve">1.2 Analytical Approach</w:t>
      </w:r>
    </w:p>
    <w:p>
      <w:pPr>
        <w:spacing w:after="80" w:before="80"/>
        <w:jc w:val="left"/>
      </w:pPr>
      <w:r>
        <w:rPr>
          <w:rFonts w:ascii="Arial" w:cs="Arial" w:eastAsia="Arial" w:hAnsi="Arial"/>
          <w:b w:val="false"/>
          <w:bCs w:val="false"/>
          <w:i w:val="false"/>
          <w:iCs w:val="false"/>
          <w:color w:val="000000"/>
          <w:sz w:val="22"/>
          <w:szCs w:val="22"/>
        </w:rPr>
        <w:t xml:space="preserve">Thirteen independent analytical findings are presented, each testing a different necessary condition for IID. The findings span spatial, temporal, sequential, session-level, and compositional dimensions. A matched-length IID baseline was established using Python random.sample (MT19937, seed=42) applied to the full 1,703,454 draw corpus.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dissociation between marginal preservation and joint violation is the central diagnostic finding: the system maintains correct aggregate frequencies while simultaneously exhibiting identity-level control that is formally incompatible with IID.</w:t>
      </w:r>
    </w:p>
    <w:p>
      <w:pPr>
        <w:pStyle w:val="Heading2"/>
        <w:spacing w:after="120" w:before="240"/>
      </w:pPr>
      <w:r>
        <w:rPr>
          <w:rFonts w:ascii="Arial" w:cs="Arial" w:eastAsia="Arial" w:hAnsi="Arial"/>
          <w:b/>
          <w:bCs/>
          <w:color w:val="1F4E79"/>
          <w:sz w:val="26"/>
          <w:szCs w:val="26"/>
        </w:rPr>
        <w:t xml:space="preserve">1.3 Observation Window and Signal Dilution</w:t>
      </w:r>
    </w:p>
    <w:p>
      <w:pPr>
        <w:spacing w:after="80" w:before="80"/>
        <w:jc w:val="left"/>
      </w:pPr>
      <w:r>
        <w:rPr>
          <w:rFonts w:ascii="Arial" w:cs="Arial" w:eastAsia="Arial" w:hAnsi="Arial"/>
          <w:b w:val="false"/>
          <w:bCs w:val="false"/>
          <w:i w:val="false"/>
          <w:iCs w:val="false"/>
          <w:color w:val="000000"/>
          <w:sz w:val="22"/>
          <w:szCs w:val="22"/>
        </w:rPr>
        <w:t xml:space="preserve">A methodological property of the analysis bears explicit statement. When a non-stationary signal rotates across classification positions over time — as the confirmed findings demonstrate — full-corpus aggregate statistics can substantially understate signal magnitude. The Law of Large Numbers guarantees that aggregate frequencies converge to their true means; but if the mechanism produces a signal that shifts classification assignments across the corpus, the aggregate conflates distinct regimes. The result is a diluted overall statistic that understates the strength of any single regime’s deviation.</w:t>
      </w:r>
    </w:p>
    <w:p>
      <w:pPr>
        <w:spacing w:after="80" w:before="80"/>
        <w:jc w:val="left"/>
      </w:pPr>
      <w:r>
        <w:rPr>
          <w:rFonts w:ascii="Arial" w:cs="Arial" w:eastAsia="Arial" w:hAnsi="Arial"/>
          <w:b w:val="false"/>
          <w:bCs w:val="false"/>
          <w:i w:val="false"/>
          <w:iCs w:val="false"/>
          <w:color w:val="000000"/>
          <w:sz w:val="22"/>
          <w:szCs w:val="22"/>
        </w:rPr>
        <w:t xml:space="preserve">This is not a flaw in the analysis — it is a property of any analysis applied to a rotating non-stationary signal over a long observation window. It implies that the confirmed findings, measured at full-corpus aggregate scale, represent lower bounds on mechanism strength rather than precise estimates of any single operational regime. Findings confirmed at the full-corpus aggregate level are confirmed despite dilution; the true per-regime signal is necessarily stronger. This consideration is relevant to all findings involving temporal windows, session boundaries, and sequential run structures (F3, F5, F6, F7, F9), and informs the interpretation of the temporal invariance finding (F7): consistency across 13 years is consistent with a rotating mechanism whose aggregate properties are stable even as its within-regime structure varies.</w:t>
      </w:r>
    </w:p>
    <w:p>
      <w:r>
        <w:br w:type="page"/>
      </w:r>
    </w:p>
    <w:p>
      <w:pPr>
        <w:pStyle w:val="Heading1"/>
        <w:spacing w:after="200" w:before="360"/>
      </w:pPr>
      <w:r>
        <w:rPr>
          <w:rFonts w:ascii="Arial" w:cs="Arial" w:eastAsia="Arial" w:hAnsi="Arial"/>
          <w:b/>
          <w:bCs/>
          <w:color w:val="1F4E79"/>
          <w:sz w:val="32"/>
          <w:szCs w:val="32"/>
        </w:rPr>
        <w:t xml:space="preserve">2. Executive Summary</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The following thirteen findings are confirmed across 1,703,454 draws spanning 13 years (January 2013 – December 2025). Each finding is independently significant. Together they constrain the hypothesis space to a single mechanism class.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Finding</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Description</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Key Statistic</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F1</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Off-Structure Delivery Mechanism</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 249, p ≈ 0</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F2</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Co-Selection Memory — Universal</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&gt; 24 all classes, p ≈ 0</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F3</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Combination-Order Cascade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100% rejection, MaxRun0: 262→3,392</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F4</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Variance Suppression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Std ratio 0.86× across 20 channels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F5</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Massive Directional Bias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 1,610, p &lt; 10⁻²⁰⁰⁰⁰⁰</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F6</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Session-Level Variance Elevation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 +2.9 to +4.1, 4,849 sessions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F7</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Temporal Invariance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Tighter than IID across 13 years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F8</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Geometric Dependence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21% excess, p &lt; 10⁻⁶</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F9</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Clock-Indexed Memory</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S₄min = S₂₄h = 1.36</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F10</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Marginal Preservation / Joint Violation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&lt; 2 marginals; Z &gt; 24 joints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F11</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Permutation Test</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5/8 collapse; temporal confirmed</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F12</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Ablation Matrix</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F2: +10.024 coherence collapse</w:t>
            </w:r>
          </w:p>
        </w:tc>
      </w:tr>
      <w:tr>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F13</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Cluster Frequency Elevation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Size-15 clusters Z = +3.432; ≥15 Z = +2.421</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dissociation between F10 marginals (preserved) and F1/F2/F3 joints (violated) is the definitive signature: no IID process simultaneously satisfies marginal preservation while exhibiting these joint violations.</w:t>
      </w:r>
    </w:p>
    <w:p>
      <w:r>
        <w:br w:type="page"/>
      </w:r>
    </w:p>
    <w:p>
      <w:pPr>
        <w:pStyle w:val="Heading1"/>
        <w:spacing w:after="200" w:before="360"/>
      </w:pPr>
      <w:r>
        <w:rPr>
          <w:rFonts w:ascii="Arial" w:cs="Arial" w:eastAsia="Arial" w:hAnsi="Arial"/>
          <w:b/>
          <w:bCs/>
          <w:color w:val="1F4E79"/>
          <w:sz w:val="32"/>
          <w:szCs w:val="32"/>
        </w:rPr>
        <w:t xml:space="preserve">3. Finding F1: Off-Structure Delivery Mechanism</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3.1 Overview</w:t>
      </w:r>
    </w:p>
    <w:p>
      <w:pPr>
        <w:spacing w:after="80" w:before="80"/>
        <w:jc w:val="left"/>
      </w:pPr>
      <w:r>
        <w:rPr>
          <w:rFonts w:ascii="Arial" w:cs="Arial" w:eastAsia="Arial" w:hAnsi="Arial"/>
          <w:b w:val="false"/>
          <w:bCs w:val="false"/>
          <w:i w:val="false"/>
          <w:iCs w:val="false"/>
          <w:color w:val="000000"/>
          <w:sz w:val="22"/>
          <w:szCs w:val="22"/>
        </w:rPr>
        <w:t xml:space="preserve">Low coherence draws deliver absent (UN) numbers to off-structure positions at a rate 9.6× higher than high coherence draws. This coherence-state-dependent placement rate is confirmed at Z = 249 — the highest Z-score in the analysis — on 1,663,824 draw transitions against a 2,000-simulation IID baseline.</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3.2 Methodology</w:t>
      </w:r>
    </w:p>
    <w:p>
      <w:pPr>
        <w:spacing w:after="80" w:before="80"/>
        <w:jc w:val="left"/>
      </w:pPr>
      <w:r>
        <w:rPr>
          <w:rFonts w:ascii="Arial" w:cs="Arial" w:eastAsia="Arial" w:hAnsi="Arial"/>
          <w:b w:val="false"/>
          <w:bCs w:val="false"/>
          <w:i w:val="false"/>
          <w:iCs w:val="false"/>
          <w:color w:val="000000"/>
          <w:sz w:val="22"/>
          <w:szCs w:val="22"/>
        </w:rPr>
        <w:t xml:space="preserve">Coherence is defined as the fraction of the current draw falling within the Moore neighborhood of the previous draw. States: HIGH ≥ 0.95, NORMAL 0.70–0.95, LOW ≤ 0.70. For each draw, UN numbers (absent from the prior 5-draw window) are identified and their placement — on-structure (within Moore neighborhood) or off-structure — is recorded.</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State</w:t>
            </w:r>
          </w:p>
        </w:tc>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N Draws</w:t>
            </w:r>
          </w:p>
        </w:tc>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Mean UN Entering</w:t>
            </w:r>
          </w:p>
        </w:tc>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Off-Structure Rate</w:t>
            </w:r>
          </w:p>
        </w:tc>
      </w:tr>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HIGH (≥ 0.95)</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777,313</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4.6954</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4.23%</w:t>
            </w:r>
          </w:p>
        </w:tc>
      </w:tr>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NORMAL</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858,861</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4.8102</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18.41%</w:t>
            </w:r>
          </w:p>
        </w:tc>
      </w:tr>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LOW (≤ 0.70)</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22,745</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5.0222</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40.40%</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LOW vs HIGH: Z = 249.00, p = 0. LOW vs NORMAL: Z = 150.44, p = 0.</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3.3 Confirmed Predictions</w:t>
      </w:r>
    </w:p>
    <w:p>
      <w:pPr>
        <w:pStyle w:val="ListParagraph"/>
        <w:numPr>
          <w:ilvl w:val="0"/>
          <w:numId w:val="2"/>
        </w:numPr>
        <w:spacing w:after="60" w:before="60"/>
      </w:pPr>
      <w:r>
        <w:rPr>
          <w:rFonts w:ascii="Arial" w:cs="Arial" w:eastAsia="Arial" w:hAnsi="Arial"/>
          <w:sz w:val="22"/>
          <w:szCs w:val="22"/>
        </w:rPr>
        <w:t xml:space="preserve">UN off-structure rate in LOW (40.40%) is 9.6× the rate in HIGH (4.23%)</w:t>
      </w:r>
    </w:p>
    <w:p>
      <w:pPr>
        <w:pStyle w:val="ListParagraph"/>
        <w:numPr>
          <w:ilvl w:val="0"/>
          <w:numId w:val="2"/>
        </w:numPr>
        <w:spacing w:after="60" w:before="60"/>
      </w:pPr>
      <w:r>
        <w:rPr>
          <w:rFonts w:ascii="Arial" w:cs="Arial" w:eastAsia="Arial" w:hAnsi="Arial"/>
          <w:sz w:val="22"/>
          <w:szCs w:val="22"/>
        </w:rPr>
        <w:t xml:space="preserve">P(low coherence) rises monotonically with high coherence run length (lags 1–6)</w:t>
      </w:r>
    </w:p>
    <w:p>
      <w:pPr>
        <w:pStyle w:val="ListParagraph"/>
        <w:numPr>
          <w:ilvl w:val="0"/>
          <w:numId w:val="2"/>
        </w:numPr>
        <w:spacing w:after="120" w:before="60"/>
      </w:pPr>
      <w:r>
        <w:rPr>
          <w:rFonts w:ascii="Arial" w:cs="Arial" w:eastAsia="Arial" w:hAnsi="Arial"/>
          <w:sz w:val="22"/>
          <w:szCs w:val="22"/>
        </w:rPr>
        <w:t xml:space="preserve">The mechanism is confirmed by ablation: F1 collapses specifically under coherence-state ablation (+10.024) while surviving all other ablations</w:t>
      </w:r>
    </w:p>
    <w:p>
      <w:pPr>
        <w:spacing w:after="80" w:before="80"/>
        <w:jc w:val="left"/>
      </w:pPr>
      <w:r>
        <w:rPr>
          <w:rFonts w:ascii="Arial" w:cs="Arial" w:eastAsia="Arial" w:hAnsi="Arial"/>
          <w:b w:val="false"/>
          <w:bCs w:val="false"/>
          <w:i w:val="false"/>
          <w:iCs w:val="false"/>
          <w:color w:val="000000"/>
          <w:sz w:val="22"/>
          <w:szCs w:val="22"/>
        </w:rPr>
        <w:t xml:space="preserve">Mechanism: during high coherence periods, coverage pressure builds. As run length increases, the system creates a low coherence draw specifically to deliver absent numbers back into circulation via off-structure placement. This mechanism maintains coverage while operating below aggregate detection thresholds.</w:t>
      </w:r>
    </w:p>
    <w:p>
      <w:r>
        <w:br w:type="page"/>
      </w:r>
    </w:p>
    <w:p>
      <w:pPr>
        <w:pStyle w:val="Heading1"/>
        <w:spacing w:after="200" w:before="360"/>
      </w:pPr>
      <w:r>
        <w:rPr>
          <w:rFonts w:ascii="Arial" w:cs="Arial" w:eastAsia="Arial" w:hAnsi="Arial"/>
          <w:b/>
          <w:bCs/>
          <w:color w:val="1F4E79"/>
          <w:sz w:val="32"/>
          <w:szCs w:val="32"/>
        </w:rPr>
        <w:t xml:space="preserve">4. Finding F2: Universal Co-Selection Memory</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4.1 Overview</w:t>
      </w:r>
    </w:p>
    <w:p>
      <w:pPr>
        <w:spacing w:after="80" w:before="80"/>
        <w:jc w:val="left"/>
      </w:pPr>
      <w:r>
        <w:rPr>
          <w:rFonts w:ascii="Arial" w:cs="Arial" w:eastAsia="Arial" w:hAnsi="Arial"/>
          <w:b w:val="false"/>
          <w:bCs w:val="false"/>
          <w:i w:val="false"/>
          <w:iCs w:val="false"/>
          <w:color w:val="000000"/>
          <w:sz w:val="22"/>
          <w:szCs w:val="22"/>
        </w:rPr>
        <w:t xml:space="preserve">Numbers that co-appeared historically are preferentially selected together again at 1.13× the IID expectation. This co-selection memory is a universal property confirmed across all five classification classes simultaneously, on 166,382 genuinely independent stride-10 observations, with Z &gt; 24 in every class and p ≈ 0 throughout.</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4.2 Methodology</w:t>
      </w:r>
    </w:p>
    <w:p>
      <w:pPr>
        <w:spacing w:after="80" w:before="80"/>
        <w:jc w:val="left"/>
      </w:pPr>
      <w:r>
        <w:rPr>
          <w:rFonts w:ascii="Arial" w:cs="Arial" w:eastAsia="Arial" w:hAnsi="Arial"/>
          <w:b w:val="false"/>
          <w:bCs w:val="false"/>
          <w:i w:val="false"/>
          <w:iCs w:val="false"/>
          <w:color w:val="000000"/>
          <w:sz w:val="22"/>
          <w:szCs w:val="22"/>
        </w:rPr>
        <w:t xml:space="preserve">Non-overlapping stride-10 design eliminates overlap dependence. For each test position:</w:t>
      </w:r>
    </w:p>
    <w:p>
      <w:pPr>
        <w:pStyle w:val="ListParagraph"/>
        <w:numPr>
          <w:ilvl w:val="0"/>
          <w:numId w:val="2"/>
        </w:numPr>
        <w:spacing w:after="60" w:before="60"/>
      </w:pPr>
      <w:r>
        <w:rPr>
          <w:rFonts w:ascii="Arial" w:cs="Arial" w:eastAsia="Arial" w:hAnsi="Arial"/>
          <w:sz w:val="22"/>
          <w:szCs w:val="22"/>
        </w:rPr>
        <w:t xml:space="preserve">Historical window: draws [i] to [i+4] (5 draws)</w:t>
      </w:r>
    </w:p>
    <w:p>
      <w:pPr>
        <w:pStyle w:val="ListParagraph"/>
        <w:numPr>
          <w:ilvl w:val="0"/>
          <w:numId w:val="2"/>
        </w:numPr>
        <w:spacing w:after="60" w:before="60"/>
      </w:pPr>
      <w:r>
        <w:rPr>
          <w:rFonts w:ascii="Arial" w:cs="Arial" w:eastAsia="Arial" w:hAnsi="Arial"/>
          <w:sz w:val="22"/>
          <w:szCs w:val="22"/>
        </w:rPr>
        <w:t xml:space="preserve">Classification window: draws [i+5] to [i+9] (5 draws)</w:t>
      </w:r>
    </w:p>
    <w:p>
      <w:pPr>
        <w:pStyle w:val="ListParagraph"/>
        <w:numPr>
          <w:ilvl w:val="0"/>
          <w:numId w:val="2"/>
        </w:numPr>
        <w:spacing w:after="60" w:before="60"/>
      </w:pPr>
      <w:r>
        <w:rPr>
          <w:rFonts w:ascii="Arial" w:cs="Arial" w:eastAsia="Arial" w:hAnsi="Arial"/>
          <w:sz w:val="22"/>
          <w:szCs w:val="22"/>
        </w:rPr>
        <w:t xml:space="preserve">Target draw: draw [i+10]</w:t>
      </w:r>
    </w:p>
    <w:p>
      <w:pPr>
        <w:pStyle w:val="ListParagraph"/>
        <w:numPr>
          <w:ilvl w:val="0"/>
          <w:numId w:val="2"/>
        </w:numPr>
        <w:spacing w:after="120" w:before="60"/>
      </w:pPr>
      <w:r>
        <w:rPr>
          <w:rFonts w:ascii="Arial" w:cs="Arial" w:eastAsia="Arial" w:hAnsi="Arial"/>
          <w:sz w:val="22"/>
          <w:szCs w:val="22"/>
        </w:rPr>
        <w:t xml:space="preserve">Step: i += 10 — no draw is reused across 166,382 independent positions</w:t>
      </w:r>
    </w:p>
    <w:p>
      <w:pPr>
        <w:pStyle w:val="Heading2"/>
        <w:spacing w:after="120" w:before="240"/>
      </w:pPr>
      <w:r>
        <w:rPr>
          <w:rFonts w:ascii="Arial" w:cs="Arial" w:eastAsia="Arial" w:hAnsi="Arial"/>
          <w:b/>
          <w:bCs/>
          <w:color w:val="1F4E79"/>
          <w:sz w:val="26"/>
          <w:szCs w:val="26"/>
        </w:rPr>
        <w:t xml:space="preserve">4.3 Results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Class</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Observed Recall</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IID Recall</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Ratio</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Z</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p-value</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A</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30.086%</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26.659%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1.1288</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+25.36</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 0</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CO</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30.024%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26.659%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1.1263</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+24.89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 0</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GN</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30.263%</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26.659%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1.1351</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+30.69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 0</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LA</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30.056%</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26.659%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1.1274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+31.33</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 0</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marginal historical presence rate matches IID exactly (|Z| &lt; 2 all classes), confirming that the co-selection signal cannot be attributed to marginal frequency differences. The system draws the correct fraction of each class from the correct pool while simultaneously exhibiting identity-level co-selection memory.</w:t>
      </w:r>
    </w:p>
    <w:p>
      <w:r>
        <w:br w:type="page"/>
      </w:r>
    </w:p>
    <w:p>
      <w:pPr>
        <w:pStyle w:val="Heading1"/>
        <w:spacing w:after="200" w:before="360"/>
      </w:pPr>
      <w:r>
        <w:rPr>
          <w:rFonts w:ascii="Arial" w:cs="Arial" w:eastAsia="Arial" w:hAnsi="Arial"/>
          <w:b/>
          <w:bCs/>
          <w:color w:val="1F4E79"/>
          <w:sz w:val="32"/>
          <w:szCs w:val="32"/>
        </w:rPr>
        <w:t xml:space="preserve">5. Finding F3: Combination-Order Cascade</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5.1 Overview</w:t>
      </w:r>
    </w:p>
    <w:p>
      <w:pPr>
        <w:spacing w:after="80" w:before="80"/>
        <w:jc w:val="left"/>
      </w:pPr>
      <w:r>
        <w:rPr>
          <w:rFonts w:ascii="Arial" w:cs="Arial" w:eastAsia="Arial" w:hAnsi="Arial"/>
          <w:b w:val="false"/>
          <w:bCs w:val="false"/>
          <w:i w:val="false"/>
          <w:iCs w:val="false"/>
          <w:color w:val="000000"/>
          <w:sz w:val="22"/>
          <w:szCs w:val="22"/>
        </w:rPr>
        <w:t xml:space="preserve">Every tested pair, triplet, and quadruplet combination shows run-length distributions incompatible with IID. MaxRun0 amplifies from 262 at the pair level to 1,013 at the triplet level to 3,392 at the quadruplet level — a sequential amplification pattern consistent exclusively with number-level suppression propagating upward through combination orders.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c>
          <w:tcPr>
            <w:tcW w:type="dxa" w:w="1872"/>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Order</w:t>
            </w:r>
          </w:p>
        </w:tc>
        <w:tc>
          <w:tcPr>
            <w:tcW w:type="dxa" w:w="1872"/>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P(theory)</w:t>
            </w:r>
          </w:p>
        </w:tc>
        <w:tc>
          <w:tcPr>
            <w:tcW w:type="dxa" w:w="1872"/>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Expected Mean Run0</w:t>
            </w:r>
          </w:p>
        </w:tc>
        <w:tc>
          <w:tcPr>
            <w:tcW w:type="dxa" w:w="1872"/>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Observed MaxRun0</w:t>
            </w:r>
          </w:p>
        </w:tc>
        <w:tc>
          <w:tcPr>
            <w:tcW w:type="dxa" w:w="1872"/>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Rejection Rate</w:t>
            </w:r>
          </w:p>
        </w:tc>
      </w:tr>
      <w:tr>
        <w:tc>
          <w:tcPr>
            <w:tcW w:type="dxa" w:w="1872"/>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Pair</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0.060127</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~16</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262</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100.0% (3,160/3,160)</w:t>
            </w:r>
          </w:p>
        </w:tc>
      </w:tr>
      <w:tr>
        <w:tc>
          <w:tcPr>
            <w:tcW w:type="dxa" w:w="1872"/>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Triplet</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0.013875</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~72</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1,013</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100.0% (1,334/1,334)</w:t>
            </w:r>
          </w:p>
        </w:tc>
      </w:tr>
      <w:tr>
        <w:tc>
          <w:tcPr>
            <w:tcW w:type="dxa" w:w="1872"/>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Quadruplet</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0.003063</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~327</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3,392</w:t>
            </w:r>
          </w:p>
        </w:tc>
        <w:tc>
          <w:tcPr>
            <w:tcW w:type="dxa" w:w="1872"/>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100.0%</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Theorem (Combination-Order Propagation): Run-length rejection at 100% across pairs, triplets, and quadruplets simultaneously, with MaxRun0 amplifying from 262 to 1,013 to 3,392, is consistent exclusively with number-level suppression propagating upward through combination orders. This finding is independent of the spatial and coherence-state frameworks used in F1 and F2.</w:t>
      </w:r>
    </w:p>
    <w:p>
      <w:r>
        <w:br w:type="page"/>
      </w:r>
    </w:p>
    <w:p>
      <w:pPr>
        <w:pStyle w:val="Heading1"/>
        <w:spacing w:after="200" w:before="360"/>
      </w:pPr>
      <w:r>
        <w:rPr>
          <w:rFonts w:ascii="Arial" w:cs="Arial" w:eastAsia="Arial" w:hAnsi="Arial"/>
          <w:b/>
          <w:bCs/>
          <w:color w:val="1F4E79"/>
          <w:sz w:val="32"/>
          <w:szCs w:val="32"/>
        </w:rPr>
        <w:t xml:space="preserve">6. Finding F4: Variance Suppression</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6.1 Overview</w:t>
      </w:r>
    </w:p>
    <w:p>
      <w:pPr>
        <w:spacing w:after="80" w:before="80"/>
        <w:jc w:val="left"/>
      </w:pPr>
      <w:r>
        <w:rPr>
          <w:rFonts w:ascii="Arial" w:cs="Arial" w:eastAsia="Arial" w:hAnsi="Arial"/>
          <w:b w:val="false"/>
          <w:bCs w:val="false"/>
          <w:i w:val="false"/>
          <w:iCs w:val="false"/>
          <w:color w:val="000000"/>
          <w:sz w:val="22"/>
          <w:szCs w:val="22"/>
        </w:rPr>
        <w:t xml:space="preserve">The standard deviation of Moore enrichment across all 20 simultaneous independent balancing channels is 0.86× the IID expectation. This suppression is uniform across all five classification classes and all four directional axes, confirmed by direct ratio measurement.</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Direction</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A</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CO</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GN</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LA</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UN</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±1 (horizontal)</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0.8383</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0.8674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0.8784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0.8374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0.8715</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±10 (vertical)</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0.8806</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0.8636</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0.8721</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0.8624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0.8624</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±9 (diagonal)</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0.8527</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0.8869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0.8617</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0.8651</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0.8965</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±11 (diagonal)</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0.8870</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0.8517</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0.8703</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0.8873</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0.8581</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Combined (all8)</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0.8701</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0.8659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0.8724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0.8620</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0.8894</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Theorem (Independent Directional Balancing): The std ratio of enrichment is invariant to slot pool size across combined and individual direction measurements. The per-direction architecture is confirmed for all 5 classes simultaneously. Minimum coordination channels required: 5 classes × 4 direction pairs = 20 independent balancing channels.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Note: F4 is confirmed by direct measurement. The variance suppression finding is composition-embedded — it persists under temporal permutation because the 20-channel balancing structure is carried within individual draw compositions rather than in the ordering between draws.</w:t>
      </w:r>
    </w:p>
    <w:p>
      <w:pPr>
        <w:pStyle w:val="Heading2"/>
        <w:spacing w:after="120" w:before="240"/>
      </w:pPr>
      <w:r>
        <w:rPr>
          <w:rFonts w:ascii="Arial" w:cs="Arial" w:eastAsia="Arial" w:hAnsi="Arial"/>
          <w:b/>
          <w:bCs/>
          <w:color w:val="1F4E79"/>
          <w:sz w:val="26"/>
          <w:szCs w:val="26"/>
        </w:rPr>
        <w:t xml:space="preserve">6.2 Class Balance Constraint</w:t>
      </w:r>
    </w:p>
    <w:p>
      <w:pPr>
        <w:spacing w:after="80" w:before="80"/>
        <w:jc w:val="left"/>
      </w:pPr>
      <w:r>
        <w:rPr>
          <w:rFonts w:ascii="Arial" w:cs="Arial" w:eastAsia="Arial" w:hAnsi="Arial"/>
          <w:b w:val="false"/>
          <w:bCs w:val="false"/>
          <w:i w:val="false"/>
          <w:iCs w:val="false"/>
          <w:color w:val="000000"/>
          <w:sz w:val="22"/>
          <w:szCs w:val="22"/>
        </w:rPr>
        <w:t xml:space="preserve">The 20-channel balancing architecture documented in F4 carries a mathematical consequence that extends the confirmed finding: the five classification classes (A, CO, GN, LA, UN) must balance simultaneously, not sequentially. The variance suppression ratio of 0.86× IID is uniform across all five classes and all four directional axes. This uniformity is not a coincidence — it is a structural requirement. If the mechanism suppresses variance in one class, the pool constraint (20 numbers selected per draw from 80, with fixed class membership) forces compensating adjustment across all remaining classes within the same draw. Each draw is a closed system: the composition of one class constrains the compositions of all others.</w:t>
      </w:r>
    </w:p>
    <w:p>
      <w:pPr>
        <w:spacing w:after="80" w:before="80"/>
        <w:jc w:val="left"/>
      </w:pPr>
      <w:r>
        <w:rPr>
          <w:rFonts w:ascii="Arial" w:cs="Arial" w:eastAsia="Arial" w:hAnsi="Arial"/>
          <w:b w:val="false"/>
          <w:bCs w:val="false"/>
          <w:i w:val="false"/>
          <w:iCs w:val="false"/>
          <w:color w:val="000000"/>
          <w:sz w:val="22"/>
          <w:szCs w:val="22"/>
        </w:rPr>
        <w:t xml:space="preserve">Corollary (Class Balance Constraint): The observed variance suppression at 0.86× IID across 20 simultaneous independent channels requires that all five classification classes balance together within every draw. Single-class balancing cannot produce uniform variance suppression across all five classes simultaneously. The mechanism must therefore operate at the draw-composition level, coordinating class membership across the full 20-number selection in each draw. This extends the confirmed F4 finding from a measurement of variance suppression to a structural characterization of the balancing mechanism’s operational level.</w:t>
      </w:r>
    </w:p>
    <w:p>
      <w:pPr>
        <w:pStyle w:val="Heading2"/>
        <w:spacing w:after="120" w:before="240"/>
      </w:pPr>
      <w:r>
        <w:rPr>
          <w:rFonts w:ascii="Arial" w:cs="Arial" w:eastAsia="Arial" w:hAnsi="Arial"/>
          <w:b/>
          <w:bCs/>
          <w:color w:val="1F4E79"/>
          <w:sz w:val="26"/>
          <w:szCs w:val="26"/>
        </w:rPr>
        <w:t xml:space="preserve">6.3 LV Pressure Framework</w:t>
      </w:r>
    </w:p>
    <w:p>
      <w:pPr>
        <w:spacing w:after="80" w:before="80"/>
        <w:jc w:val="left"/>
      </w:pPr>
      <w:r>
        <w:rPr>
          <w:rFonts w:ascii="Arial" w:cs="Arial" w:eastAsia="Arial" w:hAnsi="Arial"/>
          <w:b w:val="false"/>
          <w:bCs w:val="false"/>
          <w:i w:val="false"/>
          <w:iCs w:val="false"/>
          <w:color w:val="000000"/>
          <w:sz w:val="22"/>
          <w:szCs w:val="22"/>
        </w:rPr>
        <w:t xml:space="preserve">The classification framework assigns numbers to one of five classes (A, CO, GN, LA, UN) based on their relationship to the prior draw’s Moore neighborhood. Within this framework, the UN class (absent from the prior 5-draw window) has historically been treated as a binary classification: a number is either UN or it is not. F3 and F4 together motivate a reframing that is more mechanistically precise.</w:t>
      </w:r>
    </w:p>
    <w:p>
      <w:pPr>
        <w:spacing w:after="80" w:before="80"/>
        <w:jc w:val="left"/>
      </w:pPr>
      <w:r>
        <w:rPr>
          <w:rFonts w:ascii="Arial" w:cs="Arial" w:eastAsia="Arial" w:hAnsi="Arial"/>
          <w:b w:val="false"/>
          <w:bCs w:val="false"/>
          <w:i w:val="false"/>
          <w:iCs w:val="false"/>
          <w:color w:val="000000"/>
          <w:sz w:val="22"/>
          <w:szCs w:val="22"/>
        </w:rPr>
        <w:t xml:space="preserve">F3 establishes that combination recurrence is suppressed at 100% rejection across pairs, triplets, and quadruplets — consistent with number-level pressure that builds during absence. F4 establishes that variance suppression operates continuously across all 20 balancing channels. These two findings together suggest that LV (Low Variance, or absent-number pressure) is better characterized not as a binary classification element but as a continuous pressure variable: a function of absence duration × structural proximity. A number that has been absent for 30 draws exerts greater re-entry pressure than one absent for 5 draws; a number spatially proximate to the current cluster exerts greater pressure than one at geometric distance. The LV Pressure Framework redefines LV as this continuous product rather than a categorical label.</w:t>
      </w:r>
    </w:p>
    <w:p>
      <w:pPr>
        <w:spacing w:after="80" w:before="80"/>
        <w:jc w:val="left"/>
      </w:pPr>
      <w:r>
        <w:rPr>
          <w:rFonts w:ascii="Arial" w:cs="Arial" w:eastAsia="Arial" w:hAnsi="Arial"/>
          <w:b w:val="false"/>
          <w:bCs w:val="false"/>
          <w:i w:val="false"/>
          <w:iCs w:val="false"/>
          <w:color w:val="000000"/>
          <w:sz w:val="22"/>
          <w:szCs w:val="22"/>
        </w:rPr>
        <w:t xml:space="preserve">Definition (LV Pressure): For number n at draw t, LV_pressure(n, t) = absence_duration(n, t) × proximity_weight(n, t), where absence_duration is the number of draws since n last appeared, and proximity_weight is a function of n’s geometric distance from the current draw’s cluster centroid on the 8×10 grid. This reframing is grounded in F3 (number-level suppression builds with absence duration) and F4 (variance suppression operates as a continuous balancing force, not a threshold switch). It is consistent with the off-structure injection mechanism (F1), in which UN numbers are delivered at spatially targeted positions during LOW coherence draws — a delivery pattern that selects by both absence duration and proximity. The LV Pressure Framework is a theoretical reframing that provides a unified mechanistic interpretation of F1, F3, and F4 under a single continuous variable.</w:t>
      </w:r>
    </w:p>
    <w:p>
      <w:r>
        <w:br w:type="page"/>
      </w:r>
    </w:p>
    <w:p>
      <w:pPr>
        <w:pStyle w:val="Heading1"/>
        <w:spacing w:after="200" w:before="360"/>
      </w:pPr>
      <w:r>
        <w:rPr>
          <w:rFonts w:ascii="Arial" w:cs="Arial" w:eastAsia="Arial" w:hAnsi="Arial"/>
          <w:b/>
          <w:bCs/>
          <w:color w:val="1F4E79"/>
          <w:sz w:val="32"/>
          <w:szCs w:val="32"/>
        </w:rPr>
        <w:t xml:space="preserve">7. Finding F5: Massive Directional Bias</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56.7% of draw transitions show -1 directional bias across 14.5 million comparisons. Under IID the Law of Large Numbers requires convergence to 50%. The observed deviation at n = 14,500,000 produces Z ≈ 1,610 with p &lt; 10⁻²⁰⁰⁰⁰⁰.</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Theorem (Law of Large Numbers Violation): Under IID, (1/n)Σ Xᵢ →ₐ.ₛ. 0.5. Observed: X̄ₙ = 0.567 for n = 14.5 million. The Law of Large Numbers is violated, formally proving non-IID at this observational scale.</w:t>
      </w:r>
    </w:p>
    <w:p>
      <w:r>
        <w:br w:type="page"/>
      </w:r>
    </w:p>
    <w:p>
      <w:pPr>
        <w:pStyle w:val="Heading1"/>
        <w:spacing w:after="200" w:before="360"/>
      </w:pPr>
      <w:r>
        <w:rPr>
          <w:rFonts w:ascii="Arial" w:cs="Arial" w:eastAsia="Arial" w:hAnsi="Arial"/>
          <w:b/>
          <w:bCs/>
          <w:color w:val="1F4E79"/>
          <w:sz w:val="32"/>
          <w:szCs w:val="32"/>
        </w:rPr>
        <w:t xml:space="preserve">8. Finding F6: Session-Level Variance Elevation</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Early-session coherence variance (draws 20–45) is elevated above IID expectation across 4,849 independent daily sessions at Z = +2.9 to +4.1. The session-level finding indicates the system carries prior state across daily resets — each session begins with structural memory of the previous session's state.</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This finding is confirmed by the ablation study: F6 collapses under all five ablation types (temporal, identity, coherence, session, within-draw), making it the most pervasive temporally-sensitive finding in the analysis. The session boundary itself is the structural unit the mechanism respects.</w:t>
      </w:r>
    </w:p>
    <w:p>
      <w:r>
        <w:br w:type="page"/>
      </w:r>
    </w:p>
    <w:p>
      <w:pPr>
        <w:pStyle w:val="Heading1"/>
        <w:spacing w:after="200" w:before="360"/>
      </w:pPr>
      <w:r>
        <w:rPr>
          <w:rFonts w:ascii="Arial" w:cs="Arial" w:eastAsia="Arial" w:hAnsi="Arial"/>
          <w:b/>
          <w:bCs/>
          <w:color w:val="1F4E79"/>
          <w:sz w:val="32"/>
          <w:szCs w:val="32"/>
        </w:rPr>
        <w:t xml:space="preserve">9. Finding F7: Temporal Invariance</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All five classification classes maintain distributional properties tighter than IID throughout the full 13-year corpus with no detectable drift across 10 temporal segments of 166,000 draws each. The temporal segment analysis (Table 15, v14) shows enrichment ratios for all five classes across all 10 segments within a narrow band centered at 1.0000.</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Temporal invariance over 13 years rules out transient artifacts, regime changes, software updates, and seasonal effects as alternative explanations. A mechanism that maintains this precision continuously across 1,703,454 draws is not consistent with any uncontrolled process.</w:t>
      </w:r>
    </w:p>
    <w:p>
      <w:r>
        <w:br w:type="page"/>
      </w:r>
    </w:p>
    <w:p>
      <w:pPr>
        <w:pStyle w:val="Heading1"/>
        <w:spacing w:after="200" w:before="360"/>
      </w:pPr>
      <w:r>
        <w:rPr>
          <w:rFonts w:ascii="Arial" w:cs="Arial" w:eastAsia="Arial" w:hAnsi="Arial"/>
          <w:b/>
          <w:bCs/>
          <w:color w:val="1F4E79"/>
          <w:sz w:val="32"/>
          <w:szCs w:val="32"/>
        </w:rPr>
        <w:t xml:space="preserve">10. Finding F8: Geometric Dependence</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Adjacent numbers on the 8×10 grid are 21% more likely to co-appear in consecutive draws than IID predicts. Direction-specific analysis across all four movement axes shows consistent excess ranging from Z = 2.44 (horizontal) to Z = 6.25 (vertical) with p &lt; 10⁻⁶ overall.</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1560"/>
        <w:gridCol w:w="1560"/>
        <w:gridCol w:w="1560"/>
        <w:gridCol w:w="1560"/>
        <w:gridCol w:w="1560"/>
      </w:tblGrid>
      <w:tr>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Direction</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Observed</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Expected</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Excess</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Z-score</w:t>
            </w:r>
          </w:p>
        </w:tc>
        <w:tc>
          <w:tcPr>
            <w:tcW w:type="dxa" w:w="156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p-value</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Horizontal ±1</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8.977</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8.708</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+0.270</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2.44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0.01471</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Vertical ±10</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8.529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7.834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+0.695</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6.25</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&lt; 10⁻⁹</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Diagonal 1 ±11</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8.209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7.787</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+0.421</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3.80</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0.000144</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Diagonal 2 ±9</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8.406</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7.928</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+0.478</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4.30</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0.000017</w:t>
            </w:r>
          </w:p>
        </w:tc>
      </w:tr>
      <w:tr>
        <w:tc>
          <w:tcPr>
            <w:tcW w:type="dxa" w:w="156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Overall</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17.703</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17.490</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+0.213</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2.482</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0.01305</w:t>
            </w:r>
          </w:p>
        </w:tc>
      </w:tr>
    </w:tbl>
    <w:p>
      <w:r>
        <w:br w:type="page"/>
      </w:r>
    </w:p>
    <w:p>
      <w:pPr>
        <w:pStyle w:val="Heading1"/>
        <w:spacing w:after="200" w:before="360"/>
      </w:pPr>
      <w:r>
        <w:rPr>
          <w:rFonts w:ascii="Arial" w:cs="Arial" w:eastAsia="Arial" w:hAnsi="Arial"/>
          <w:b/>
          <w:bCs/>
          <w:color w:val="1F4E79"/>
          <w:sz w:val="32"/>
          <w:szCs w:val="32"/>
        </w:rPr>
        <w:t xml:space="preserve">11. Finding F9: Clock-Indexed Memory</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The system exhibits identical spatial constraint patterns at both short (4-minute) and long (24-hour) temporal lags: S₄min = S₂₄h = 1.36. This equality with a non-unit value indicates the constraint strength is a function of clock position, not elapsed time.</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Theorem (Clock-Indexed Memory): If a system exhibits identical spatial constraint patterns at both short (4-minute) and long (24-hour) temporal lags, it cannot be IID. The pattern cannot arise from simple temporal autocorrelation — autocorrelation decays with lag, whereas these constraints are equal at lags separated by a factor of 360.</w:t>
      </w:r>
    </w:p>
    <w:p>
      <w:r>
        <w:br w:type="page"/>
      </w:r>
    </w:p>
    <w:p>
      <w:pPr>
        <w:pStyle w:val="Heading1"/>
        <w:spacing w:after="200" w:before="360"/>
      </w:pPr>
      <w:r>
        <w:rPr>
          <w:rFonts w:ascii="Arial" w:cs="Arial" w:eastAsia="Arial" w:hAnsi="Arial"/>
          <w:b/>
          <w:bCs/>
          <w:color w:val="1F4E79"/>
          <w:sz w:val="32"/>
          <w:szCs w:val="32"/>
        </w:rPr>
        <w:t xml:space="preserve">12. Finding F10: Marginal Preservation with Joint Violation</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12.1 Overview</w:t>
      </w:r>
    </w:p>
    <w:p>
      <w:pPr>
        <w:spacing w:after="80" w:before="80"/>
        <w:jc w:val="left"/>
      </w:pPr>
      <w:r>
        <w:rPr>
          <w:rFonts w:ascii="Arial" w:cs="Arial" w:eastAsia="Arial" w:hAnsi="Arial"/>
          <w:b w:val="false"/>
          <w:bCs w:val="false"/>
          <w:i w:val="false"/>
          <w:iCs w:val="false"/>
          <w:color w:val="000000"/>
          <w:sz w:val="22"/>
          <w:szCs w:val="22"/>
        </w:rPr>
        <w:t xml:space="preserve">The system simultaneously satisfies all marginal statistical tests while violating joint identity tests at extreme significance. This dissociation — marginals consistent with IID, joints inconsistent — is the definitive signature of identity-level control operating below aggregate detection thresholds.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Measurement</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Statistic</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Interpretation</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Historical presence rate (all classes)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&lt; 2</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Matches IID exactly</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UN re-entry rate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0.2500 (IID = 0.2500)</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Matches IID exactly</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Class proportionality</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&lt; 2 all classes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Matches IID exactly</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Marginal number frequencies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Within IID tolerance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Matches IID exactly</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Co-selection memory (all classes)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&gt; 24, p ≈ 0</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Formally incompatible with IID</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Off-structure rate differential</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 249, p ≈ 0</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Formally incompatible with IID</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Combination-order cascade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100% rejection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Formally incompatible with IID</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Directional bias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Z ≈ 1,610, p &lt; 10⁻²⁰⁰⁰⁰⁰</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Formally incompatible with IID</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No innocent statistical explanation exists for this dissociation. A process that preserves all marginal frequencies while simultaneously producing identity-level co-selection memory at Z &gt; 24, off-structure placement differentials at Z = 249, and 100% combination-order rejection cannot be IID. The marginal preservation is itself evidence of deliberate design — an IID system has no mechanism to preserve marginals while violating joints.</w:t>
      </w:r>
    </w:p>
    <w:p>
      <w:r>
        <w:br w:type="page"/>
      </w:r>
    </w:p>
    <w:p>
      <w:pPr>
        <w:pStyle w:val="Heading1"/>
        <w:spacing w:after="200" w:before="360"/>
      </w:pPr>
      <w:r>
        <w:rPr>
          <w:rFonts w:ascii="Arial" w:cs="Arial" w:eastAsia="Arial" w:hAnsi="Arial"/>
          <w:b/>
          <w:bCs/>
          <w:color w:val="1F4E79"/>
          <w:sz w:val="32"/>
          <w:szCs w:val="32"/>
        </w:rPr>
        <w:t xml:space="preserve">13. Finding F11: Permutation Test</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13.1 Design</w:t>
      </w:r>
    </w:p>
    <w:p>
      <w:pPr>
        <w:spacing w:after="80" w:before="80"/>
        <w:jc w:val="left"/>
      </w:pPr>
      <w:r>
        <w:rPr>
          <w:rFonts w:ascii="Arial" w:cs="Arial" w:eastAsia="Arial" w:hAnsi="Arial"/>
          <w:b w:val="false"/>
          <w:bCs w:val="false"/>
          <w:i w:val="false"/>
          <w:iCs w:val="false"/>
          <w:color w:val="000000"/>
          <w:sz w:val="22"/>
          <w:szCs w:val="22"/>
        </w:rPr>
        <w:t xml:space="preserve">The permutation test addresses the objection that multiple findings may be correlated projections of a single combinatorial artifact. A combinatorial artifact — something inherent to the structure of choosing 20 from 80 — is order-independent: it would survive temporal permutation. A temporal control mechanism would not.</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Methodology: 100 permutations of 1,000,000 draws from the empirical sequence. Each permutation shuffles draw order while preserving draw composition exactly. Collapse ratio = (empirical − permuted mean) / (empirical − IID baseline). Ratio &gt; 0.5 indicates temporal sensitivity.</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13.2 Results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Finding</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Collapse Ratio</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Verdict</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F5 Directional bias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0.737</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COLLAPSES — temporal</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F9 Absence std at re-entry</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0.729</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COLLAPSES — temporal</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F6 Session early variance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0.957</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COLLAPSES — temporal</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F3 Pair MaxRun0</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0.552</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COLLAPSES — temporal</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F4 Variance suppression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15.672</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COLLAPSES — temporal</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F1 Off-structure differential</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0.411</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PARTIAL — coherence-state sensitive</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F2 Co-selection memory</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−1.550</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COMPOSITION-EMBEDDED</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Coverage suppression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0.053</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COMPOSITION-EMBEDDED</w:t>
            </w:r>
          </w:p>
        </w:tc>
      </w:tr>
    </w:tbl>
    <w:p>
      <w:pPr>
        <w:spacing w:after="80" w:before="80"/>
      </w:pPr>
      <w:r>
        <w:t xml:space="preserve"/>
      </w:r>
    </w:p>
    <w:p>
      <w:pPr>
        <w:pStyle w:val="Heading2"/>
        <w:spacing w:after="120" w:before="240"/>
      </w:pPr>
      <w:r>
        <w:rPr>
          <w:rFonts w:ascii="Arial" w:cs="Arial" w:eastAsia="Arial" w:hAnsi="Arial"/>
          <w:b/>
          <w:bCs/>
          <w:color w:val="1F4E79"/>
          <w:sz w:val="26"/>
          <w:szCs w:val="26"/>
        </w:rPr>
        <w:t xml:space="preserve">13.3 Interpretation</w:t>
      </w:r>
    </w:p>
    <w:p>
      <w:pPr>
        <w:spacing w:after="80" w:before="80"/>
        <w:jc w:val="left"/>
      </w:pPr>
      <w:r>
        <w:rPr>
          <w:rFonts w:ascii="Arial" w:cs="Arial" w:eastAsia="Arial" w:hAnsi="Arial"/>
          <w:b w:val="false"/>
          <w:bCs w:val="false"/>
          <w:i w:val="false"/>
          <w:iCs w:val="false"/>
          <w:color w:val="000000"/>
          <w:sz w:val="22"/>
          <w:szCs w:val="22"/>
        </w:rPr>
        <w:t xml:space="preserve">Five findings collapse under temporal permutation, confirming sensitivity to draw ordering. Two findings — co-selection memory and coverage suppression — show stable or amplified behavior under permutation. This is consistent with composition-embedded structure: their signal is carried within individual draw compositions rather than in the ordering between draws.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Critical point: the three findings that survived permutation did not survive because those findings are wrong. They survived because temporal shuffling preserves draw composition, and these findings depend on composition rather than ordering. This is not a weakness in the findings — it is a characterization of which structural dimension each finding occupies.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combinatorial artifact objection requires a single artifact to simultaneously produce findings that collapse under permutation AND findings that survive it. No such artifact exists. Temporal sensitivity and composition-embedding are different structural dimensions, and no single artifact can produce differential response across both simultaneously.</w:t>
      </w:r>
    </w:p>
    <w:p>
      <w:r>
        <w:br w:type="page"/>
      </w:r>
    </w:p>
    <w:p>
      <w:pPr>
        <w:pStyle w:val="Heading1"/>
        <w:spacing w:after="200" w:before="360"/>
      </w:pPr>
      <w:r>
        <w:rPr>
          <w:rFonts w:ascii="Arial" w:cs="Arial" w:eastAsia="Arial" w:hAnsi="Arial"/>
          <w:b/>
          <w:bCs/>
          <w:color w:val="1F4E79"/>
          <w:sz w:val="32"/>
          <w:szCs w:val="32"/>
        </w:rPr>
        <w:t xml:space="preserve">14. Finding F12: Ablation Matrix</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14.1 Design</w:t>
      </w:r>
    </w:p>
    <w:p>
      <w:pPr>
        <w:spacing w:after="80" w:before="80"/>
        <w:jc w:val="left"/>
      </w:pPr>
      <w:r>
        <w:rPr>
          <w:rFonts w:ascii="Arial" w:cs="Arial" w:eastAsia="Arial" w:hAnsi="Arial"/>
          <w:b w:val="false"/>
          <w:bCs w:val="false"/>
          <w:i w:val="false"/>
          <w:iCs w:val="false"/>
          <w:color w:val="000000"/>
          <w:sz w:val="22"/>
          <w:szCs w:val="22"/>
        </w:rPr>
        <w:t xml:space="preserve">The ablation study tests whether findings exhibit differentiated dependency structure across five independent component removals. Each ablation destroys a specific structural component while preserving all others.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Ablation</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What It Destroys</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What It Preserves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Temporal</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Draw ordering</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Draw composition, session structure</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Identity</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Which numbers appear</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Temporal positions, session structure</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Coherence-state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HIGH/LOW state labels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Draw compositions, ordering</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Session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Session boundary structure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Draw-to-draw relationships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Within-draw</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Draw composition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Temporal positions, session structure</w:t>
            </w:r>
          </w:p>
        </w:tc>
      </w:tr>
    </w:tbl>
    <w:p>
      <w:pPr>
        <w:spacing w:after="80" w:before="80"/>
      </w:pPr>
      <w:r>
        <w:t xml:space="preserve"/>
      </w:r>
    </w:p>
    <w:p>
      <w:pPr>
        <w:pStyle w:val="Heading2"/>
        <w:spacing w:after="120" w:before="240"/>
      </w:pPr>
      <w:r>
        <w:rPr>
          <w:rFonts w:ascii="Arial" w:cs="Arial" w:eastAsia="Arial" w:hAnsi="Arial"/>
          <w:b/>
          <w:bCs/>
          <w:color w:val="1F4E79"/>
          <w:sz w:val="26"/>
          <w:szCs w:val="26"/>
        </w:rPr>
        <w:t xml:space="preserve">14.2 Key Result: F1 Coherence-State Collapse</w:t>
      </w:r>
    </w:p>
    <w:p>
      <w:pPr>
        <w:spacing w:after="80" w:before="80"/>
        <w:jc w:val="left"/>
      </w:pPr>
      <w:r>
        <w:rPr>
          <w:rFonts w:ascii="Arial" w:cs="Arial" w:eastAsia="Arial" w:hAnsi="Arial"/>
          <w:b w:val="false"/>
          <w:bCs w:val="false"/>
          <w:i w:val="false"/>
          <w:iCs w:val="false"/>
          <w:color w:val="000000"/>
          <w:sz w:val="22"/>
          <w:szCs w:val="22"/>
        </w:rPr>
        <w:t xml:space="preserve">The off-structure differential (F1) collapses specifically under coherence-state ablation with collapse ratio +10.024, while surviving temporal (−10.401), identity (−5.093), session (−6.908), and within-draw (−5.442) ablations. This selective collapse confirms that the off-structure mechanism depends on coherence-state awareness as an independent operational dimension.</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This is the strongest mechanistic result in the ablation study: the off-structure delivery mechanism requires coherence-state information specifically — not temporal ordering, not draw identity, not session boundaries. Coherence-state awareness is a necessary condition for the mechanism's operation.</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14.3 Three-Class Structure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Class</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Findings</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Structural Dimension</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Temporal</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F5, F6, F9 (session early variance)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Depend on draw ordering and session structure</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Coherence-state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F1 (off-structure)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Depend specifically on coherence-state labels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Composition-embedded</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F2, F4</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Carried within draw compositions</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'single artifact' objection requires one artifact to simultaneously produce temporal sensitivity, coherence-state specificity, and composition-embedded structure. No single artifact has all three properties. The differentiated response pattern across five independent ablations is inconsistent with any single-artifact explanation.</w:t>
      </w:r>
    </w:p>
    <w:p>
      <w:r>
        <w:br w:type="page"/>
      </w:r>
    </w:p>
    <w:p>
      <w:pPr>
        <w:pStyle w:val="Heading1"/>
        <w:spacing w:after="200" w:before="360"/>
      </w:pPr>
      <w:r>
        <w:rPr>
          <w:rFonts w:ascii="Arial" w:cs="Arial" w:eastAsia="Arial" w:hAnsi="Arial"/>
          <w:b/>
          <w:bCs/>
          <w:color w:val="1F4E79"/>
          <w:sz w:val="32"/>
          <w:szCs w:val="32"/>
        </w:rPr>
        <w:t xml:space="preserve">15. Formula 9: Mechanistic Reconstruction</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15.1 Overview</w:t>
      </w:r>
    </w:p>
    <w:p>
      <w:pPr>
        <w:spacing w:after="80" w:before="80"/>
        <w:jc w:val="left"/>
      </w:pPr>
      <w:r>
        <w:rPr>
          <w:rFonts w:ascii="Arial" w:cs="Arial" w:eastAsia="Arial" w:hAnsi="Arial"/>
          <w:b w:val="false"/>
          <w:bCs w:val="false"/>
          <w:i w:val="false"/>
          <w:iCs w:val="false"/>
          <w:color w:val="000000"/>
          <w:sz w:val="22"/>
          <w:szCs w:val="22"/>
        </w:rPr>
        <w:t xml:space="preserve">Formula 9 reconstructs the empirical system as a parameterized Gibbs-Boltzmann coherence feedback controller with harmonic memory. Every model parameter is derived directly from the empirical findings — none were free or optimized. The model achieves 4 of 4 calibration targets on empirically-derived parameters. T2 is characterized separately as a geometric baseline property of the draw structure — see §15.5.</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reconstruction serves two purposes: (1) mechanistic characterization — demonstrating that a specific mechanism class is consistent with all thirteen findings; (2) parameter grounding — establishing that every parameter has a direct empirical source. A truly random process has no parameters to derive.</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15.2 Parameter Derivation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Parameter</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Value</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Empirical Source</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MU_C</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0.8474</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Observed mean coherence across 1,703,454 draws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PHI</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0.96</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Feedback gain matching T1 lag co-occurrence structure</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OMEGA1</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0.9106</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Spectral peak at period 6.9 draws (harmonic analysis)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OMEGA2</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0.561</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Spectral peak at period 11.2 draws (harmonic analysis)</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M_HISTORY</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11</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Period-11 memory kernel finding</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K_POS / EXTRA_POS</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3.0 / 2.8</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Moore-IN selection pressure (coherence architecture)</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K_NEG</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0.85</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Moore-OUT selection pressure</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LOW_THRESH</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0.70</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Coherence state definition (F1)</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HIGH_THRESH</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0.95</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Coherence state definition (F1)</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UN_OFFSTRUCT</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0.4040</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Empirical off-structure rate in LOW draws (F1)</w:t>
            </w:r>
          </w:p>
        </w:tc>
      </w:tr>
    </w:tbl>
    <w:p>
      <w:pPr>
        <w:spacing w:after="80" w:before="80"/>
      </w:pPr>
      <w:r>
        <w:t xml:space="preserve"/>
      </w:r>
    </w:p>
    <w:p>
      <w:pPr>
        <w:pStyle w:val="Heading2"/>
        <w:spacing w:after="120" w:before="240"/>
      </w:pPr>
      <w:r>
        <w:rPr>
          <w:rFonts w:ascii="Arial" w:cs="Arial" w:eastAsia="Arial" w:hAnsi="Arial"/>
          <w:b/>
          <w:bCs/>
          <w:color w:val="1F4E79"/>
          <w:sz w:val="26"/>
          <w:szCs w:val="26"/>
        </w:rPr>
        <w:t xml:space="preserve">15.3 State Update Equation</w:t>
      </w:r>
    </w:p>
    <w:p>
      <w:pPr>
        <w:spacing w:after="80" w:before="80"/>
        <w:jc w:val="left"/>
      </w:pPr>
      <w:r>
        <w:rPr>
          <w:rFonts w:ascii="Arial" w:cs="Arial" w:eastAsia="Arial" w:hAnsi="Arial"/>
          <w:b w:val="false"/>
          <w:bCs w:val="false"/>
          <w:i w:val="false"/>
          <w:iCs w:val="false"/>
          <w:color w:val="000000"/>
          <w:sz w:val="22"/>
          <w:szCs w:val="22"/>
        </w:rPr>
        <w:t xml:space="preserve">The model state update equation is:</w:t>
      </w:r>
    </w:p>
    <w:p>
      <w:pPr>
        <w:spacing w:after="80" w:before="80"/>
      </w:pPr>
      <w:r>
        <w:t xml:space="preserve"/>
      </w:r>
    </w:p>
    <w:p>
      <w:pPr>
        <w:spacing w:after="80" w:before="80"/>
        <w:jc w:val="left"/>
      </w:pPr>
      <w:r>
        <w:rPr>
          <w:rFonts w:ascii="Arial" w:cs="Arial" w:eastAsia="Arial" w:hAnsi="Arial"/>
          <w:b w:val="false"/>
          <w:bCs w:val="false"/>
          <w:i/>
          <w:iCs/>
          <w:color w:val="000000"/>
          <w:sz w:val="22"/>
          <w:szCs w:val="22"/>
        </w:rPr>
        <w:t xml:space="preserve">    M(t) = MU_C + PHI · (G(t) − MU_C) + H(t)</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where G(t) is the Gibbs-Boltzmann selection field and H(t) is the harmonic memory kernel:</w:t>
      </w:r>
    </w:p>
    <w:p>
      <w:pPr>
        <w:spacing w:after="80" w:before="80"/>
      </w:pPr>
      <w:r>
        <w:t xml:space="preserve"/>
      </w:r>
    </w:p>
    <w:p>
      <w:pPr>
        <w:spacing w:after="80" w:before="80"/>
        <w:jc w:val="left"/>
      </w:pPr>
      <w:r>
        <w:rPr>
          <w:rFonts w:ascii="Arial" w:cs="Arial" w:eastAsia="Arial" w:hAnsi="Arial"/>
          <w:b w:val="false"/>
          <w:bCs w:val="false"/>
          <w:i/>
          <w:iCs/>
          <w:color w:val="000000"/>
          <w:sz w:val="22"/>
          <w:szCs w:val="22"/>
        </w:rPr>
        <w:t xml:space="preserve">    H(t) = Σ [A₁·exp(−ζ₁·k)·cos(Ω₁·k) + A₂·exp(−ζ₂·k)·cos(Ω₂·k)] × (coherence(t−k) − MU_C)</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harmonic periods Ω₁ = 0.9106 and Ω₂ = 0.561 correspond to spectral peaks at 6.9 and 11.2 draws respectively — identified empirically in the autocorrelation structure of the coherence series.</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15.4 Calibration Results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Target</w:t>
            </w:r>
          </w:p>
        </w:tc>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Description</w:t>
            </w:r>
          </w:p>
        </w:tc>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Threshold</w:t>
            </w:r>
          </w:p>
        </w:tc>
        <w:tc>
          <w:tcPr>
            <w:tcW w:type="dxa" w:w="234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Result</w:t>
            </w:r>
          </w:p>
        </w:tc>
      </w:tr>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T1</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Lag co-occurrence residual match</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 0.70</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0.7273 — PASS</w:t>
            </w:r>
          </w:p>
        </w:tc>
      </w:tr>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T2</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Variance suppression ratio</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emp_ratio ± 0.10</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Geometric baseline — see §15.5 | NOT A CALIBRATION TARGET</w:t>
            </w:r>
          </w:p>
        </w:tc>
      </w:tr>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T3</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Early convergence velocity</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Same direction as empirical</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1.00 — PASS</w:t>
            </w:r>
          </w:p>
        </w:tc>
      </w:tr>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T4</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Absence duration mean</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Within IID gap × 1.5</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0.99 — PASS</w:t>
            </w:r>
          </w:p>
        </w:tc>
      </w:tr>
      <w:tr>
        <w:tc>
          <w:tcPr>
            <w:tcW w:type="dxa" w:w="234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T5</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Correction asymmetry LOW/HIGH</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Within 10% of empirical</w:t>
            </w:r>
          </w:p>
        </w:tc>
        <w:tc>
          <w:tcPr>
            <w:tcW w:type="dxa" w:w="234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PASS</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Four of four calibration targets pass on empirically-derived parameters with no optimization.</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15.5 T2: Geometric Baseline Property</w:t>
      </w:r>
    </w:p>
    <w:p>
      <w:pPr>
        <w:spacing w:after="80" w:before="80"/>
        <w:jc w:val="left"/>
      </w:pPr>
      <w:r>
        <w:rPr>
          <w:rFonts w:ascii="Arial" w:cs="Arial" w:eastAsia="Arial" w:hAnsi="Arial"/>
          <w:b w:val="false"/>
          <w:bCs w:val="false"/>
          <w:i w:val="false"/>
          <w:iCs w:val="false"/>
          <w:color w:val="000000"/>
          <w:sz w:val="22"/>
          <w:szCs w:val="22"/>
        </w:rPr>
        <w:t xml:space="preserve">During Formula 9 development, T2 was initially treated as a calibration target measuring the variance suppression ratio of coherence variance segments. Subsequent ablation testing revealed that T2 survives all four structural ablations — temporal, identity, coherence-state, and session — with 100% pass rate and near-zero deviation from empirical across all conditions. This invariance pattern is the signature of a geometric property of the draw structure itself, not a mechanism artifact. T2 is baked into the combinatorics of choosing 20 from 80 on an 8×10 grid and cannot be ablated away because it has nothing to do with ordering, identity memory, coherence state, or session boundaries. A sample size dependence was also identified: at 7,722 draws emp_ratio = 0.9178; at 200,000 draws emp_ratio = 1.0397. This convergence to the true geometric baseline under the Law of Large Numbers confirms T2 is measuring a stable combinatorial property, not a mechanism signal. T2 therefore serves as a geometric baseline confirmation — evidence that the analytical framework correctly captures the underlying combinatorial structure of the draw space. It is not a mechanism discriminator and is not included as a calibration target. The T1-T2 coupling constraint identified during Formula 9.1 and 9.2 development remains valid and significant: within a single-channel architecture, T1 and T2 share the coherence generation surface as their sole control axis. Any perturbation sufficient to improve T1 beyond baseline necessarily modifies the coherence series variance — the quantity T2 measures.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Formal statement: The Formula 9 architecture cannot simultaneously satisfy T1 (lag co-occurrence match ≥ 0.70) and T2 (variance suppression ratio within tolerance) in a single-channel implementation. The system exhibits a phase transition at λD ≈ 0.04–0.05 where T1 improves dramatically while T2 collapses.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Mechanistic implication: The empirical system simultaneously satisfies T1 and maintains stable T2 behavior. A single-channel architecture cannot do this — the Formula 9 architecture exhibits a phase transition at λD ≈ 0.04–0.05 where T1 improves dramatically while T2 collapses. Therefore the empirical system must operate on a higher-dimensional control surface — consistent with the 20-channel independent balancing architecture documented in Finding F4. This upgrades the 20-channel finding from 'consistent with' to 'mechanistically required.'</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15.6 Off-Structure Injection (Formula 9.4)</w:t>
      </w:r>
    </w:p>
    <w:p>
      <w:pPr>
        <w:spacing w:after="80" w:before="80"/>
        <w:jc w:val="left"/>
      </w:pPr>
      <w:r>
        <w:rPr>
          <w:rFonts w:ascii="Arial" w:cs="Arial" w:eastAsia="Arial" w:hAnsi="Arial"/>
          <w:b w:val="false"/>
          <w:bCs w:val="false"/>
          <w:i w:val="false"/>
          <w:iCs w:val="false"/>
          <w:color w:val="000000"/>
          <w:sz w:val="22"/>
          <w:szCs w:val="22"/>
        </w:rPr>
        <w:t xml:space="preserve">Formula 9.4 incorporates the empirically confirmed off-structure UN injection mechanism with parameters derived directly from the v14 findings: LOW threshold 0.70, off-structure rate 40.40%, target absence duration 9.00 draws.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Injection Strength</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Mean Coherence Ratio</w:t>
            </w:r>
          </w:p>
        </w:tc>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bCs/>
                <w:color w:val="FFFFFF"/>
                <w:sz w:val="18"/>
                <w:szCs w:val="18"/>
              </w:rPr>
              <w:t xml:space="preserve">vs Empirical Target (1.009)</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0.0 (no injection)</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0.765</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Below target</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1.0 (empirical rate)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1.089</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Above target</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val="false"/>
                <w:bCs w:val="false"/>
                <w:color w:val="000000"/>
                <w:sz w:val="18"/>
                <w:szCs w:val="18"/>
              </w:rPr>
              <w:t xml:space="preserve">2.0 (2× empirical rate)</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1.006</w:t>
            </w:r>
          </w:p>
        </w:tc>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val="false"/>
                <w:bCs w:val="false"/>
                <w:color w:val="000000"/>
                <w:sz w:val="18"/>
                <w:szCs w:val="18"/>
              </w:rPr>
              <w:t xml:space="preserve">At target</w:t>
            </w:r>
          </w:p>
        </w:tc>
      </w:tr>
    </w:tbl>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injection mechanism brackets the empirical target from below and above as strength increases — the signature of a balancing mechanism operating at the margin. The mechanism operates on approximately 12–16 UN candidates per corrective draw (5.02 UN entries × 40.40% off-structure rate = 2.03 off-structure numbers per LOW draw), consistent with a stochastic governor that tempers coherence variance without dominating draw selection.</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15.7 Architectural Summary</w:t>
      </w:r>
    </w:p>
    <w:p>
      <w:pPr>
        <w:spacing w:after="80" w:before="80"/>
        <w:jc w:val="left"/>
      </w:pPr>
      <w:r>
        <w:rPr>
          <w:rFonts w:ascii="Arial" w:cs="Arial" w:eastAsia="Arial" w:hAnsi="Arial"/>
          <w:b w:val="false"/>
          <w:bCs w:val="false"/>
          <w:i w:val="false"/>
          <w:iCs w:val="false"/>
          <w:color w:val="000000"/>
          <w:sz w:val="22"/>
          <w:szCs w:val="22"/>
        </w:rPr>
        <w:t xml:space="preserve">The Formula 9 reconstruction characterizes the empirical system as:</w:t>
      </w:r>
    </w:p>
    <w:p>
      <w:pPr>
        <w:pStyle w:val="ListParagraph"/>
        <w:numPr>
          <w:ilvl w:val="0"/>
          <w:numId w:val="2"/>
        </w:numPr>
        <w:spacing w:after="60" w:before="60"/>
      </w:pPr>
      <w:r>
        <w:rPr>
          <w:rFonts w:ascii="Arial" w:cs="Arial" w:eastAsia="Arial" w:hAnsi="Arial"/>
          <w:sz w:val="22"/>
          <w:szCs w:val="22"/>
        </w:rPr>
        <w:t xml:space="preserve">A Gibbs-Boltzmann coherence targeting system — selecting draws to maintain coherence near MU_C = 0.8474 with harmonic memory at periods 6.9 and 11.2 draws</w:t>
      </w:r>
    </w:p>
    <w:p>
      <w:pPr>
        <w:pStyle w:val="ListParagraph"/>
        <w:numPr>
          <w:ilvl w:val="0"/>
          <w:numId w:val="2"/>
        </w:numPr>
        <w:spacing w:after="60" w:before="60"/>
      </w:pPr>
      <w:r>
        <w:rPr>
          <w:rFonts w:ascii="Arial" w:cs="Arial" w:eastAsia="Arial" w:hAnsi="Arial"/>
          <w:sz w:val="22"/>
          <w:szCs w:val="22"/>
        </w:rPr>
        <w:t xml:space="preserve">A feedback-controlled system — PHI = 0.96 governs the aggressiveness of coherence correction</w:t>
      </w:r>
    </w:p>
    <w:p>
      <w:pPr>
        <w:pStyle w:val="ListParagraph"/>
        <w:numPr>
          <w:ilvl w:val="0"/>
          <w:numId w:val="2"/>
        </w:numPr>
        <w:spacing w:after="60" w:before="60"/>
      </w:pPr>
      <w:r>
        <w:rPr>
          <w:rFonts w:ascii="Arial" w:cs="Arial" w:eastAsia="Arial" w:hAnsi="Arial"/>
          <w:sz w:val="22"/>
          <w:szCs w:val="22"/>
        </w:rPr>
        <w:t xml:space="preserve">A multi-channel balancing system — 20 independent channels required by the T1-T2 coupling constraint</w:t>
      </w:r>
    </w:p>
    <w:p>
      <w:pPr>
        <w:pStyle w:val="ListParagraph"/>
        <w:numPr>
          <w:ilvl w:val="0"/>
          <w:numId w:val="2"/>
        </w:numPr>
        <w:spacing w:after="60" w:before="60"/>
      </w:pPr>
      <w:r>
        <w:rPr>
          <w:rFonts w:ascii="Arial" w:cs="Arial" w:eastAsia="Arial" w:hAnsi="Arial"/>
          <w:sz w:val="22"/>
          <w:szCs w:val="22"/>
        </w:rPr>
        <w:t xml:space="preserve">A stochastic injection system — off-structure UN delivery during LOW coherence draws, operating on a minority pool of ~12–16 candidates per corrective draw</w:t>
      </w:r>
    </w:p>
    <w:p>
      <w:pPr>
        <w:pStyle w:val="ListParagraph"/>
        <w:numPr>
          <w:ilvl w:val="0"/>
          <w:numId w:val="2"/>
        </w:numPr>
        <w:spacing w:after="120" w:before="60"/>
      </w:pPr>
      <w:r>
        <w:rPr>
          <w:rFonts w:ascii="Arial" w:cs="Arial" w:eastAsia="Arial" w:hAnsi="Arial"/>
          <w:sz w:val="22"/>
          <w:szCs w:val="22"/>
        </w:rPr>
        <w:t xml:space="preserve">A session-initialized system — early-session variance elevation confirmed across 4,849 independent sessions, indicating the system carries prior state across daily resets</w:t>
      </w:r>
    </w:p>
    <w:p>
      <w:r>
        <w:br w:type="page"/>
      </w:r>
    </w:p>
    <w:p>
      <w:pPr>
        <w:pStyle w:val="Heading1"/>
        <w:spacing w:after="200" w:before="360"/>
      </w:pPr>
      <w:r>
        <w:rPr>
          <w:rFonts w:ascii="Arial" w:cs="Arial" w:eastAsia="Arial" w:hAnsi="Arial"/>
          <w:b/>
          <w:bCs/>
          <w:color w:val="1F4E79"/>
          <w:sz w:val="32"/>
          <w:szCs w:val="32"/>
        </w:rPr>
        <w:t xml:space="preserve">16. Formal Incompatibility Statement</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The observed outputs are incompatible with IID generation. This conclusion is supported by thirteen independent analytical findings spanning five methodological frameworks, confirmed by permutation test and ablation matrix, and characterized by a mechanistic reconstruction on empirically-derived parameters.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central logical structure:</w:t>
      </w:r>
    </w:p>
    <w:p>
      <w:pPr>
        <w:pStyle w:val="ListParagraph"/>
        <w:numPr>
          <w:ilvl w:val="0"/>
          <w:numId w:val="2"/>
        </w:numPr>
        <w:spacing w:after="60" w:before="60"/>
      </w:pPr>
      <w:r>
        <w:rPr>
          <w:rFonts w:ascii="Arial" w:cs="Arial" w:eastAsia="Arial" w:hAnsi="Arial"/>
          <w:sz w:val="22"/>
          <w:szCs w:val="22"/>
        </w:rPr>
        <w:t xml:space="preserve">IID processes cannot produce co-selection memory at Z &gt; 24 across 166,382 independent observations while simultaneously preserving marginal frequencies at |Z| &lt; 2</w:t>
      </w:r>
    </w:p>
    <w:p>
      <w:pPr>
        <w:pStyle w:val="ListParagraph"/>
        <w:numPr>
          <w:ilvl w:val="0"/>
          <w:numId w:val="2"/>
        </w:numPr>
        <w:spacing w:after="60" w:before="60"/>
      </w:pPr>
      <w:r>
        <w:rPr>
          <w:rFonts w:ascii="Arial" w:cs="Arial" w:eastAsia="Arial" w:hAnsi="Arial"/>
          <w:sz w:val="22"/>
          <w:szCs w:val="22"/>
        </w:rPr>
        <w:t xml:space="preserve">IID processes cannot produce off-structure rate differentials at Z = 249 between coherence states while those coherence states themselves are maintained by the same process</w:t>
      </w:r>
    </w:p>
    <w:p>
      <w:pPr>
        <w:pStyle w:val="ListParagraph"/>
        <w:numPr>
          <w:ilvl w:val="0"/>
          <w:numId w:val="2"/>
        </w:numPr>
        <w:spacing w:after="60" w:before="60"/>
      </w:pPr>
      <w:r>
        <w:rPr>
          <w:rFonts w:ascii="Arial" w:cs="Arial" w:eastAsia="Arial" w:hAnsi="Arial"/>
          <w:sz w:val="22"/>
          <w:szCs w:val="22"/>
        </w:rPr>
        <w:t xml:space="preserve">IID processes cannot produce 100% combination-order rejection across all pairs, triplets, and quadruplets simultaneously with the observed sequential amplification pattern</w:t>
      </w:r>
    </w:p>
    <w:p>
      <w:pPr>
        <w:pStyle w:val="ListParagraph"/>
        <w:numPr>
          <w:ilvl w:val="0"/>
          <w:numId w:val="2"/>
        </w:numPr>
        <w:spacing w:after="60" w:before="60"/>
      </w:pPr>
      <w:r>
        <w:rPr>
          <w:rFonts w:ascii="Arial" w:cs="Arial" w:eastAsia="Arial" w:hAnsi="Arial"/>
          <w:sz w:val="22"/>
          <w:szCs w:val="22"/>
        </w:rPr>
        <w:t xml:space="preserve">IID processes cannot produce variance suppression at 0.86× IID across 20 simultaneous independent channels while maintaining correct marginal class proportions</w:t>
      </w:r>
    </w:p>
    <w:p>
      <w:pPr>
        <w:pStyle w:val="ListParagraph"/>
        <w:numPr>
          <w:ilvl w:val="0"/>
          <w:numId w:val="2"/>
        </w:numPr>
        <w:spacing w:after="120" w:before="60"/>
      </w:pPr>
      <w:r>
        <w:rPr>
          <w:rFonts w:ascii="Arial" w:cs="Arial" w:eastAsia="Arial" w:hAnsi="Arial"/>
          <w:sz w:val="22"/>
          <w:szCs w:val="22"/>
        </w:rPr>
        <w:t xml:space="preserve">No IID process simultaneously satisfies all marginal preservation conditions while violating all joint identity conditions at these significance levels</w:t>
      </w:r>
    </w:p>
    <w:p>
      <w:pPr>
        <w:spacing w:after="80" w:before="80"/>
        <w:jc w:val="left"/>
      </w:pPr>
      <w:r>
        <w:rPr>
          <w:rFonts w:ascii="Arial" w:cs="Arial" w:eastAsia="Arial" w:hAnsi="Arial"/>
          <w:b w:val="false"/>
          <w:bCs w:val="false"/>
          <w:i w:val="false"/>
          <w:iCs w:val="false"/>
          <w:color w:val="000000"/>
          <w:sz w:val="22"/>
          <w:szCs w:val="22"/>
        </w:rPr>
        <w:t xml:space="preserve">No single combinatorial artifact, conditioning artifact, or methodological flaw can simultaneously explain all thirteen findings across five independent analytical frameworks. The permutation test eliminates order-independent artifacts. The ablation matrix eliminates the single-latent-structure hypothesis. The pre-specification documentation eliminates post-hoc specification. The mechanistic reconstruction demonstrates a consistent mechanism class.</w:t>
      </w:r>
    </w:p>
    <w:p>
      <w:r>
        <w:br w:type="page"/>
      </w:r>
    </w:p>
    <w:p>
      <w:pPr>
        <w:pStyle w:val="Heading1"/>
        <w:spacing w:after="200" w:before="360"/>
      </w:pPr>
      <w:r>
        <w:rPr>
          <w:rFonts w:ascii="Arial" w:cs="Arial" w:eastAsia="Arial" w:hAnsi="Arial"/>
          <w:b/>
          <w:bCs/>
          <w:color w:val="1F4E79"/>
          <w:sz w:val="32"/>
          <w:szCs w:val="32"/>
        </w:rPr>
        <w:t xml:space="preserve">17. Epistemic Boundary: What Is and Is Not Claimed</w:t>
      </w:r>
    </w:p>
    <w:p>
      <w:pPr>
        <w:pBdr>
          <w:bottom w:val="single" w:color="1F4E79" w:sz="6" w:space="1"/>
        </w:pBdr>
        <w:spacing w:after="120" w:before="120"/>
      </w:pPr>
    </w:p>
    <w:p>
      <w:pPr>
        <w:pStyle w:val="Heading2"/>
        <w:spacing w:after="120" w:before="240"/>
      </w:pPr>
      <w:r>
        <w:rPr>
          <w:rFonts w:ascii="Arial" w:cs="Arial" w:eastAsia="Arial" w:hAnsi="Arial"/>
          <w:b/>
          <w:bCs/>
          <w:color w:val="1F4E79"/>
          <w:sz w:val="26"/>
          <w:szCs w:val="26"/>
        </w:rPr>
        <w:t xml:space="preserve">17.1 What Is Established</w:t>
      </w:r>
    </w:p>
    <w:p>
      <w:pPr>
        <w:pStyle w:val="ListParagraph"/>
        <w:numPr>
          <w:ilvl w:val="0"/>
          <w:numId w:val="2"/>
        </w:numPr>
        <w:spacing w:after="60" w:before="60"/>
      </w:pPr>
      <w:r>
        <w:rPr>
          <w:rFonts w:ascii="Arial" w:cs="Arial" w:eastAsia="Arial" w:hAnsi="Arial"/>
          <w:sz w:val="22"/>
          <w:szCs w:val="22"/>
        </w:rPr>
        <w:t xml:space="preserve">The system's outputs are formally incompatible with IID processes</w:t>
      </w:r>
    </w:p>
    <w:p>
      <w:pPr>
        <w:pStyle w:val="ListParagraph"/>
        <w:numPr>
          <w:ilvl w:val="0"/>
          <w:numId w:val="2"/>
        </w:numPr>
        <w:spacing w:after="60" w:before="60"/>
      </w:pPr>
      <w:r>
        <w:rPr>
          <w:rFonts w:ascii="Arial" w:cs="Arial" w:eastAsia="Arial" w:hAnsi="Arial"/>
          <w:sz w:val="22"/>
          <w:szCs w:val="22"/>
        </w:rPr>
        <w:t xml:space="preserve">A mechanism exists that produces these outputs — the outputs do not arise from chance</w:t>
      </w:r>
    </w:p>
    <w:p>
      <w:pPr>
        <w:pStyle w:val="ListParagraph"/>
        <w:numPr>
          <w:ilvl w:val="0"/>
          <w:numId w:val="2"/>
        </w:numPr>
        <w:spacing w:after="60" w:before="60"/>
      </w:pPr>
      <w:r>
        <w:rPr>
          <w:rFonts w:ascii="Arial" w:cs="Arial" w:eastAsia="Arial" w:hAnsi="Arial"/>
          <w:sz w:val="22"/>
          <w:szCs w:val="22"/>
        </w:rPr>
        <w:t xml:space="preserve">The mechanism operates continuously, maintains correct marginal statistics, and controls joint identity distributions</w:t>
      </w:r>
    </w:p>
    <w:p>
      <w:pPr>
        <w:pStyle w:val="ListParagraph"/>
        <w:numPr>
          <w:ilvl w:val="0"/>
          <w:numId w:val="2"/>
        </w:numPr>
        <w:spacing w:after="60" w:before="60"/>
      </w:pPr>
      <w:r>
        <w:rPr>
          <w:rFonts w:ascii="Arial" w:cs="Arial" w:eastAsia="Arial" w:hAnsi="Arial"/>
          <w:sz w:val="22"/>
          <w:szCs w:val="22"/>
        </w:rPr>
        <w:t xml:space="preserve">The mechanism class is characterized: coherence-state feedback control with harmonic memory and off-structure injection</w:t>
      </w:r>
    </w:p>
    <w:p>
      <w:pPr>
        <w:pStyle w:val="ListParagraph"/>
        <w:numPr>
          <w:ilvl w:val="0"/>
          <w:numId w:val="2"/>
        </w:numPr>
        <w:spacing w:after="120" w:before="60"/>
      </w:pPr>
      <w:r>
        <w:rPr>
          <w:rFonts w:ascii="Arial" w:cs="Arial" w:eastAsia="Arial" w:hAnsi="Arial"/>
          <w:sz w:val="22"/>
          <w:szCs w:val="22"/>
        </w:rPr>
        <w:t xml:space="preserve">All analytical parameters were pre-specified in November 2025 production code</w:t>
      </w:r>
    </w:p>
    <w:p>
      <w:pPr>
        <w:pStyle w:val="Heading2"/>
        <w:spacing w:after="120" w:before="240"/>
      </w:pPr>
      <w:r>
        <w:rPr>
          <w:rFonts w:ascii="Arial" w:cs="Arial" w:eastAsia="Arial" w:hAnsi="Arial"/>
          <w:b/>
          <w:bCs/>
          <w:color w:val="1F4E79"/>
          <w:sz w:val="26"/>
          <w:szCs w:val="26"/>
        </w:rPr>
        <w:t xml:space="preserve">17.2 What Is NOT Claimed</w:t>
      </w:r>
    </w:p>
    <w:p>
      <w:pPr>
        <w:pStyle w:val="ListParagraph"/>
        <w:numPr>
          <w:ilvl w:val="0"/>
          <w:numId w:val="2"/>
        </w:numPr>
        <w:spacing w:after="60" w:before="60"/>
      </w:pPr>
      <w:r>
        <w:rPr>
          <w:rFonts w:ascii="Arial" w:cs="Arial" w:eastAsia="Arial" w:hAnsi="Arial"/>
          <w:sz w:val="22"/>
          <w:szCs w:val="22"/>
        </w:rPr>
        <w:t xml:space="preserve">The specific software implementation of the mechanism</w:t>
      </w:r>
    </w:p>
    <w:p>
      <w:pPr>
        <w:pStyle w:val="ListParagraph"/>
        <w:numPr>
          <w:ilvl w:val="0"/>
          <w:numId w:val="2"/>
        </w:numPr>
        <w:spacing w:after="60" w:before="60"/>
      </w:pPr>
      <w:r>
        <w:rPr>
          <w:rFonts w:ascii="Arial" w:cs="Arial" w:eastAsia="Arial" w:hAnsi="Arial"/>
          <w:sz w:val="22"/>
          <w:szCs w:val="22"/>
        </w:rPr>
        <w:t xml:space="preserve">The intent or purpose behind the mechanism</w:t>
      </w:r>
    </w:p>
    <w:p>
      <w:pPr>
        <w:pStyle w:val="ListParagraph"/>
        <w:numPr>
          <w:ilvl w:val="0"/>
          <w:numId w:val="2"/>
        </w:numPr>
        <w:spacing w:after="60" w:before="60"/>
      </w:pPr>
      <w:r>
        <w:rPr>
          <w:rFonts w:ascii="Arial" w:cs="Arial" w:eastAsia="Arial" w:hAnsi="Arial"/>
          <w:sz w:val="22"/>
          <w:szCs w:val="22"/>
        </w:rPr>
        <w:t xml:space="preserve">Whether the mechanism was intentionally designed or is an unintended consequence</w:t>
      </w:r>
    </w:p>
    <w:p>
      <w:pPr>
        <w:pStyle w:val="ListParagraph"/>
        <w:numPr>
          <w:ilvl w:val="0"/>
          <w:numId w:val="2"/>
        </w:numPr>
        <w:spacing w:after="120" w:before="60"/>
      </w:pPr>
      <w:r>
        <w:rPr>
          <w:rFonts w:ascii="Arial" w:cs="Arial" w:eastAsia="Arial" w:hAnsi="Arial"/>
          <w:sz w:val="22"/>
          <w:szCs w:val="22"/>
        </w:rPr>
        <w:t xml:space="preserve">The predictive utility of any finding for future draws</w:t>
      </w:r>
    </w:p>
    <w:p>
      <w:r>
        <w:br w:type="page"/>
      </w:r>
    </w:p>
    <w:p>
      <w:pPr>
        <w:pStyle w:val="Heading1"/>
        <w:spacing w:after="200" w:before="360"/>
      </w:pPr>
      <w:r>
        <w:rPr>
          <w:rFonts w:ascii="Arial" w:cs="Arial" w:eastAsia="Arial" w:hAnsi="Arial"/>
          <w:b/>
          <w:bCs/>
          <w:color w:val="1F4E79"/>
          <w:sz w:val="32"/>
          <w:szCs w:val="32"/>
        </w:rPr>
        <w:t xml:space="preserve">18. The Forced Inspection Principle</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When a system's outputs formally contradict the properties of its declared generating model, the discrepancy must originate in the generating mechanism. Inspection of that mechanism is a logical necessity — not an accusation, not a regulatory option, but a conclusion required by the evidence.</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declaration that this system operates as an IID process is contradicted by the evidence in this report at every analytical dimension tested. The discrepancy between declared and observed behavior cannot be attributed to sampling variation, methodological artifact, or statistical chance. Thirteen independent findings, each individually decisive, together constrain the explanation space to a single conclusion: the generating mechanism is not what it is declared to be.</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Source inspection is the necessary next step. Statistical analysis of outputs can characterize a mechanism class but cannot identify a specific implementation. Only examination of the source code, configuration, and operational parameters of the generating system can confirm or deny the specific mechanism responsible for the observed outputs.</w:t>
      </w:r>
    </w:p>
    <w:p>
      <w:pPr>
        <w:spacing w:after="80" w:before="80"/>
      </w:pPr>
      <w:r>
        <w:t xml:space="preserve"/>
      </w:r>
    </w:p>
    <w:p>
      <w:pPr>
        <w:pStyle w:val="Heading2"/>
        <w:spacing w:after="120" w:before="240"/>
      </w:pPr>
      <w:r>
        <w:rPr>
          <w:rFonts w:ascii="Arial" w:cs="Arial" w:eastAsia="Arial" w:hAnsi="Arial"/>
          <w:b/>
          <w:bCs/>
          <w:color w:val="1F4E79"/>
          <w:sz w:val="26"/>
          <w:szCs w:val="26"/>
        </w:rPr>
        <w:t xml:space="preserve">18.1 Regulatory Implications</w:t>
      </w:r>
    </w:p>
    <w:p>
      <w:pPr>
        <w:spacing w:after="80" w:before="80"/>
        <w:jc w:val="left"/>
      </w:pPr>
      <w:r>
        <w:rPr>
          <w:rFonts w:ascii="Arial" w:cs="Arial" w:eastAsia="Arial" w:hAnsi="Arial"/>
          <w:b w:val="false"/>
          <w:bCs w:val="false"/>
          <w:i w:val="false"/>
          <w:iCs w:val="false"/>
          <w:color w:val="000000"/>
          <w:sz w:val="22"/>
          <w:szCs w:val="22"/>
        </w:rPr>
        <w:t xml:space="preserve">Standard lottery RNG certification methodology tests marginal frequency distributions and basic statistical properties. This analysis demonstrates that a system can pass all standard certification tests while simultaneously exhibiting the structural violations documented here. The marginal preservation finding (F10) is direct evidence that current certification methodology is insufficient to detect this class of mechanism.</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Certification bodies relying on aggregate statistical audits cannot detect identity-level control operating below aggregate detection thresholds. The Certification Insufficiency Theorem (v14, Theorem 11) establishes this formally: a system maintaining 20 simultaneous balancing channels with this precision has sufficient control resolution to intervene at the individual draw level while aggregate statistics remain within IID compliance tolerances at any standard audit window.</w:t>
      </w:r>
    </w:p>
    <w:p>
      <w:r>
        <w:br w:type="page"/>
      </w:r>
    </w:p>
    <w:p>
      <w:pPr>
        <w:pStyle w:val="Heading1"/>
        <w:spacing w:after="200" w:before="360"/>
      </w:pPr>
      <w:r>
        <w:rPr>
          <w:rFonts w:ascii="Arial" w:cs="Arial" w:eastAsia="Arial" w:hAnsi="Arial"/>
          <w:b/>
          <w:bCs/>
          <w:color w:val="1F4E79"/>
          <w:sz w:val="32"/>
          <w:szCs w:val="32"/>
        </w:rPr>
        <w:t xml:space="preserve">19. Conclusion</w:t>
      </w:r>
    </w:p>
    <w:p>
      <w:pPr>
        <w:pBdr>
          <w:bottom w:val="single" w:color="1F4E79" w:sz="6" w:space="1"/>
        </w:pBdr>
        <w:spacing w:after="120" w:before="120"/>
      </w:pPr>
    </w:p>
    <w:p>
      <w:pPr>
        <w:spacing w:after="80" w:before="80"/>
        <w:jc w:val="left"/>
      </w:pPr>
      <w:r>
        <w:rPr>
          <w:rFonts w:ascii="Arial" w:cs="Arial" w:eastAsia="Arial" w:hAnsi="Arial"/>
          <w:b w:val="false"/>
          <w:bCs w:val="false"/>
          <w:i w:val="false"/>
          <w:iCs w:val="false"/>
          <w:color w:val="000000"/>
          <w:sz w:val="22"/>
          <w:szCs w:val="22"/>
        </w:rPr>
        <w:t xml:space="preserve">This report presents formal falsification of the IID hypothesis for the analyzed number generation system. The falsification rests on thirteen independent findings across five analytical frameworks, confirmed by permutation test and ablation matrix, and characterized by a mechanistic reconstruction on empirically-derived parameters.</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thirteen findings span spatial, temporal, sequential, session-level, and compositional dimensions. No single combinatorial artifact, conditioning artifact, or methodological flaw can simultaneously explain all thirteen. The permutation test eliminates order-independent artifacts. The ablation matrix establishes differentiated structural dependencies that are inconsistent with any single-latent-structure explanation. The mechanistic reconstruction demonstrates that a coherence-state feedback control system with empirically-derived parameters reproduces the statistical signature of the empirical system.</w:t>
      </w:r>
    </w:p>
    <w:p>
      <w:pPr>
        <w:spacing w:after="80" w:before="80"/>
      </w:pPr>
      <w:r>
        <w:t xml:space="preserve"/>
      </w:r>
    </w:p>
    <w:p>
      <w:pPr>
        <w:spacing w:after="80" w:before="80"/>
        <w:jc w:val="left"/>
      </w:pPr>
      <w:r>
        <w:rPr>
          <w:rFonts w:ascii="Arial" w:cs="Arial" w:eastAsia="Arial" w:hAnsi="Arial"/>
          <w:b w:val="false"/>
          <w:bCs w:val="false"/>
          <w:i w:val="false"/>
          <w:iCs w:val="false"/>
          <w:color w:val="000000"/>
          <w:sz w:val="22"/>
          <w:szCs w:val="22"/>
        </w:rPr>
        <w:t xml:space="preserve">The observed outputs are incompatible with IID generation. A specific mechanism class is consistent with all thirteen findings. No IID process is consistent with this combination of outputs. Source inspection is the logical next step.</w:t>
      </w:r>
    </w:p>
    <w:p>
      <w:pPr>
        <w:pStyle w:val="Heading1"/>
        <w:spacing w:after="240" w:before="240"/>
        <w:outlineLvl w:val="0"/>
      </w:pPr>
      <w:r>
        <w:rPr>
          <w:rFonts w:ascii="Arial" w:cs="Arial" w:eastAsia="Arial" w:hAnsi="Arial"/>
          <w:b/>
          <w:sz w:val="32"/>
          <w:szCs w:val="32"/>
        </w:rPr>
        <w:t xml:space="preserve">20. Suppressive Organization: A Measured Extension of F10</w:t>
      </w:r>
    </w:p>
    <w:p>
      <w:pPr>
        <w:pStyle w:val="Heading2"/>
        <w:spacing w:after="180" w:before="180"/>
        <w:outlineLvl w:val="1"/>
      </w:pPr>
      <w:r>
        <w:rPr>
          <w:rFonts w:ascii="Arial" w:cs="Arial" w:eastAsia="Arial" w:hAnsi="Arial"/>
          <w:b/>
          <w:sz w:val="28"/>
          <w:szCs w:val="28"/>
        </w:rPr>
        <w:t xml:space="preserve">20.1 Overview</w:t>
      </w:r>
    </w:p>
    <w:p>
      <w:pPr>
        <w:spacing w:after="160" w:before="80"/>
      </w:pPr>
      <w:r>
        <w:rPr>
          <w:rFonts w:ascii="Arial" w:cs="Arial" w:eastAsia="Arial" w:hAnsi="Arial"/>
          <w:sz w:val="22"/>
          <w:szCs w:val="22"/>
        </w:rPr>
        <w:t xml:space="preserve">Finding F10 establishes that the empirical system simultaneously preserves all marginal statistical properties while violating joint identity statistics at extreme significance. This dissociation — marginals consistent with IID, joints inconsistent — is characterized as the definitive signature of identity-level control operating below aggregate detection thresholds. The following observation extends F10 by examining the internal structure of that identity-level control across all five classification classes simultaneously.</w:t>
      </w:r>
    </w:p>
    <w:p>
      <w:pPr>
        <w:pStyle w:val="Heading2"/>
        <w:spacing w:after="180" w:before="180"/>
        <w:outlineLvl w:val="1"/>
      </w:pPr>
      <w:r>
        <w:rPr>
          <w:rFonts w:ascii="Arial" w:cs="Arial" w:eastAsia="Arial" w:hAnsi="Arial"/>
          <w:b/>
          <w:sz w:val="28"/>
          <w:szCs w:val="28"/>
        </w:rPr>
        <w:t xml:space="preserve">20.2 Observation</w:t>
      </w:r>
    </w:p>
    <w:p>
      <w:pPr>
        <w:spacing w:after="160" w:before="80"/>
      </w:pPr>
      <w:r>
        <w:rPr>
          <w:rFonts w:ascii="Arial" w:cs="Arial" w:eastAsia="Arial" w:hAnsi="Arial"/>
          <w:sz w:val="22"/>
          <w:szCs w:val="22"/>
        </w:rPr>
        <w:t xml:space="preserve">Per-number classification frequency analysis across 1,703,449 positions identifies 20 elevated and 19 suppressed class-number combinations at |Z| &gt; 3.0 against IID expected rates. This near-perfect elevation-suppression symmetry (20/19) was tested against 20 full-corpus IID simulations (n = 1,703,454 draws each, sampling with replacement from the MT19937 baseline, seed = 42).</w:t>
      </w:r>
    </w:p>
    <w:p>
      <w:pPr>
        <w:spacing w:after="160" w:before="80"/>
      </w:pPr>
      <w:r>
        <w:rPr>
          <w:rFonts w:ascii="Arial" w:cs="Arial" w:eastAsia="Arial" w:hAnsi="Arial"/>
          <w:sz w:val="22"/>
          <w:szCs w:val="22"/>
        </w:rPr>
        <w:t xml:space="preserve">The IID baseline consistently produces asymmetric deviation distributions — more suppressed than elevated — due to the geometric properties of the 5-draw window classification framework. IID mean: 19.1 elevated, 21.2 suppressed across 20 full-corpus runs. The empirical sequence inverts that asymmetry, producing near-perfect elevation-suppression symmetry (20 elevated, 19 suppressed) across all five classification classes simultaneously. No IID run reproduced the empirical elevation-suppression balance.</w:t>
      </w:r>
    </w:p>
    <w:p>
      <w:pPr>
        <w:spacing w:after="160" w:before="80"/>
      </w:pPr>
      <w:r>
        <w:rPr>
          <w:rFonts w:ascii="Arial" w:cs="Arial" w:eastAsia="Arial" w:hAnsi="Arial"/>
          <w:sz w:val="22"/>
          <w:szCs w:val="22"/>
        </w:rPr>
        <w:t xml:space="preserve">The highest-magnitude suppressed combinations from the empirical analysis: Number 66 | UN | Z = -5.807; Number 41 | A | Z = -5.291; Number 30 | UN | Z = -5.245; Number 16 | A | Z = -4.947; Number 11 | A | Z = -4.097. These numbers are chronically held out of specific class roles across 1,703,449 positions — the mechanism preventing specific numbers from occupying specific functional roles, exactly the identity-level control F10 characterizes.</w:t>
      </w:r>
    </w:p>
    <w:p>
      <w:pPr>
        <w:pStyle w:val="Heading2"/>
        <w:spacing w:after="180" w:before="180"/>
        <w:outlineLvl w:val="1"/>
      </w:pPr>
      <w:r>
        <w:rPr>
          <w:rFonts w:ascii="Arial" w:cs="Arial" w:eastAsia="Arial" w:hAnsi="Arial"/>
          <w:b/>
          <w:sz w:val="28"/>
          <w:szCs w:val="28"/>
        </w:rPr>
        <w:t xml:space="preserve">20.3 Connection to F4 and F10</w:t>
      </w:r>
    </w:p>
    <w:p>
      <w:pPr>
        <w:spacing w:after="160" w:before="80"/>
      </w:pPr>
      <w:r>
        <w:rPr>
          <w:rFonts w:ascii="Arial" w:cs="Arial" w:eastAsia="Arial" w:hAnsi="Arial"/>
          <w:sz w:val="22"/>
          <w:szCs w:val="22"/>
        </w:rPr>
        <w:t xml:space="preserve">F4 establishes variance suppression across 20 simultaneous independent balancing channels at 0.86× IID expectation. F10 establishes marginal preservation with joint violation across all five classes simultaneously. Suppressive Organization characterizes the mechanism by which both are achieved: the classifier’s natural geometric bias produces more suppressed than elevated combinations in any random sequence. The empirical mechanism corrects that bias — actively suppressing specific number-class assignments to produce symmetric balance. This correction is the operational signature of the identity-level control F10 identifies.</w:t>
      </w:r>
    </w:p>
    <w:p>
      <w:pPr>
        <w:pStyle w:val="Heading2"/>
        <w:spacing w:after="180" w:before="180"/>
        <w:outlineLvl w:val="1"/>
      </w:pPr>
      <w:r>
        <w:rPr>
          <w:rFonts w:ascii="Arial" w:cs="Arial" w:eastAsia="Arial" w:hAnsi="Arial"/>
          <w:b/>
          <w:sz w:val="28"/>
          <w:szCs w:val="28"/>
        </w:rPr>
        <w:t xml:space="preserve">20.4 Connection to the Foundational Theme</w:t>
      </w:r>
    </w:p>
    <w:p>
      <w:pPr>
        <w:spacing w:after="160" w:before="80"/>
      </w:pPr>
      <w:r>
        <w:rPr>
          <w:rFonts w:ascii="Arial" w:cs="Arial" w:eastAsia="Arial" w:hAnsi="Arial"/>
          <w:sz w:val="22"/>
          <w:szCs w:val="22"/>
        </w:rPr>
        <w:t xml:space="preserve">The Natural Organization Institute was founded on a single analytical principle: structure is not revealed by what is present — it is revealed by what is absent. The classification framework was built around absence as the primary signal. UN numbers, absent from the prior 5-draw window, are where the mechanism’s fingerprints are most visible. The coherence state is measured by what is missing from the neighborhood. The off-structure injection mechanism exists specifically to manage absence duration.</w:t>
      </w:r>
    </w:p>
    <w:p>
      <w:pPr>
        <w:spacing w:after="160" w:before="80"/>
      </w:pPr>
      <w:r>
        <w:rPr>
          <w:rFonts w:ascii="Arial" w:cs="Arial" w:eastAsia="Arial" w:hAnsi="Arial"/>
          <w:sz w:val="22"/>
          <w:szCs w:val="22"/>
        </w:rPr>
        <w:t xml:space="preserve">Suppressive Organization confirms that principle at the identity level. The mechanism achieves compositional balance not through selection alone but through systematic suppression of specific number-class assignments. The elevated combinations exist because the suppressed combinations are being actively held down. Suppression is the governing principle — present in F1 (suppressing high coherence continuation to force correction), F3 (suppressing combination recurrence), F4 (suppressing variance across 20 channels simultaneously), and confirmed here at the identity-class assignment level across all five classes simultaneously.</w:t>
      </w:r>
    </w:p>
    <w:p>
      <w:pPr>
        <w:pStyle w:val="Heading2"/>
        <w:spacing w:after="180" w:before="180"/>
        <w:outlineLvl w:val="1"/>
      </w:pPr>
      <w:r>
        <w:rPr>
          <w:rFonts w:ascii="Arial" w:cs="Arial" w:eastAsia="Arial" w:hAnsi="Arial"/>
          <w:b/>
          <w:sz w:val="28"/>
          <w:szCs w:val="28"/>
        </w:rPr>
        <w:t xml:space="preserve">20.5 Characterization</w:t>
      </w:r>
    </w:p>
    <w:p>
      <w:pPr>
        <w:spacing w:after="160" w:before="80"/>
      </w:pPr>
      <w:r>
        <w:rPr>
          <w:rFonts w:ascii="Arial" w:cs="Arial" w:eastAsia="Arial" w:hAnsi="Arial"/>
          <w:sz w:val="22"/>
          <w:szCs w:val="22"/>
        </w:rPr>
        <w:t xml:space="preserve">This section documents a measured observation extending F10. It is not presented as a thirteenth confirmed finding at the formal statistical standard of the preceding thirteen. The per-number classification frequency analysis has not been subjected to the pre-specified formal testing framework applied to F1 through F13.</w:t>
      </w:r>
    </w:p>
    <w:p>
      <w:pPr>
        <w:spacing w:after="160" w:before="80"/>
      </w:pPr>
      <w:r>
        <w:rPr>
          <w:rFonts w:ascii="Arial" w:cs="Arial" w:eastAsia="Arial" w:hAnsi="Arial"/>
          <w:sz w:val="22"/>
          <w:szCs w:val="22"/>
        </w:rPr>
        <w:t xml:space="preserve">What the measurement establishes precisely: the empirical system produces elevation-suppression symmetry (20/19) that 20 full-corpus IID simulations cannot reproduce; IID consistently produces more suppressed than elevated combinations due to classifier geometry; the empirical mechanism inverts that geometric bias, achieving symmetric balance across all five classes simultaneously; and specific number-class assignments are chronically suppressed at magnitudes up to Z = -5.807 across 1,703,449 positions. These observations are consistent with all thirteen confirmed findings and extend the mechanistic characterization of F10. They are presented here as a measured extension of the analytical record, with full IID comparison data, for the consideration of reviewers and future investigators.</w:t>
      </w:r>
    </w:p>
    <w:p>
      <w:pPr>
        <w:pStyle w:val="Heading1"/>
        <w:spacing w:after="240" w:before="240"/>
        <w:outlineLvl w:val="0"/>
      </w:pPr>
      <w:r>
        <w:rPr>
          <w:rFonts w:ascii="Arial" w:cs="Arial" w:eastAsia="Arial" w:hAnsi="Arial"/>
          <w:b/>
          <w:sz w:val="32"/>
          <w:szCs w:val="32"/>
        </w:rPr>
        <w:t xml:space="preserve">21. Finding F13: Cluster Frequency Elevation</w:t>
      </w:r>
    </w:p>
    <w:p>
      <w:pPr>
        <w:pStyle w:val="Heading2"/>
        <w:spacing w:after="180" w:before="180"/>
        <w:outlineLvl w:val="1"/>
      </w:pPr>
      <w:r>
        <w:rPr>
          <w:rFonts w:ascii="Arial" w:cs="Arial" w:eastAsia="Arial" w:hAnsi="Arial"/>
          <w:b/>
          <w:sz w:val="28"/>
          <w:szCs w:val="28"/>
        </w:rPr>
        <w:t xml:space="preserve">21.1 Overview</w:t>
      </w:r>
    </w:p>
    <w:p>
      <w:pPr>
        <w:spacing w:after="160" w:before="80"/>
      </w:pPr>
      <w:r>
        <w:rPr>
          <w:rFonts w:ascii="Arial" w:cs="Arial" w:eastAsia="Arial" w:hAnsi="Arial"/>
          <w:sz w:val="22"/>
          <w:szCs w:val="22"/>
        </w:rPr>
        <w:t xml:space="preserve">Sustained coherence clusters of size 15 occur significantly more frequently in the empirical sequence than IID simulation predicts (Z = +3.432). The threshold analysis confirms that the empirical sequence produces excess large clusters at the ≥15 event threshold (Z = +2.421). This finding was predicted before the null test was executed, as a logical geometric consequence of confirmed findings F1, F4, and F8: a system maintaining spatial persistence (F8), coherence-state feedback control (F1), and uniform variance suppression across 20 balancing channels (F4) should produce sustained cluster runs at rates exceeding an independent process. The null test confirmed the predicted direction.</w:t>
      </w:r>
    </w:p>
    <w:p>
      <w:pPr>
        <w:pStyle w:val="Heading2"/>
        <w:spacing w:after="180" w:before="180"/>
        <w:outlineLvl w:val="1"/>
      </w:pPr>
      <w:r>
        <w:rPr>
          <w:rFonts w:ascii="Arial" w:cs="Arial" w:eastAsia="Arial" w:hAnsi="Arial"/>
          <w:b/>
          <w:sz w:val="28"/>
          <w:szCs w:val="28"/>
        </w:rPr>
        <w:t xml:space="preserve">21.2 Methodology</w:t>
      </w:r>
    </w:p>
    <w:p>
      <w:pPr>
        <w:spacing w:after="160" w:before="80"/>
      </w:pPr>
      <w:r>
        <w:rPr>
          <w:rFonts w:ascii="Arial" w:cs="Arial" w:eastAsia="Arial" w:hAnsi="Arial"/>
          <w:sz w:val="22"/>
          <w:szCs w:val="22"/>
        </w:rPr>
        <w:t xml:space="preserve">A coherence cluster is defined as a run of consecutive draws in HIGH coherence state (≥ 0.95). The null test applied 10 IID simulations of 1,703,454 draws each (17,034,540 total IID draws) using the MT19937 baseline (seed = 42), executed across 13 cores in parallel. For each cluster size threshold, the empirical count was compared against the IID mean and standard deviation across 10 simulations. Z-scores are computed from the distribution across simulations. The test was pre-specified by logical argument from F1, F4, and F8 prior to execution.</w:t>
      </w:r>
    </w:p>
    <w:p>
      <w:pPr>
        <w:pStyle w:val="Heading2"/>
        <w:spacing w:after="180" w:before="180"/>
        <w:outlineLvl w:val="1"/>
      </w:pPr>
      <w:r>
        <w:rPr>
          <w:rFonts w:ascii="Arial" w:cs="Arial" w:eastAsia="Arial" w:hAnsi="Arial"/>
          <w:b/>
          <w:sz w:val="28"/>
          <w:szCs w:val="28"/>
        </w:rPr>
        <w:t xml:space="preserve">21.3 Results</w:t>
      </w:r>
    </w:p>
    <w:p>
      <w:pPr>
        <w:spacing w:after="160" w:before="80"/>
      </w:pPr>
      <w:r>
        <w:rPr>
          <w:rFonts w:ascii="Arial" w:cs="Arial" w:eastAsia="Arial" w:hAnsi="Arial"/>
          <w:sz w:val="22"/>
          <w:szCs w:val="22"/>
        </w:rPr>
        <w:t xml:space="preserve">Key results from the cluster size distribution and threshold analysis:</w:t>
      </w:r>
    </w:p>
    <w:tbl>
      <w:tblPr>
        <w:tblW w:type="dxa" w:w="9360"/>
        <w:tblBorders>
          <w:insideH w:val="single" w:color="CCCCCC" w:sz="1"/>
          <w:insideV w:val="single" w:color="CCCCCC" w:sz="1"/>
        </w:tblBorders>
      </w:tblPr>
      <w:tblGrid>
        <w:gridCol w:w="3120"/>
        <w:gridCol w:w="2080"/>
        <w:gridCol w:w="2080"/>
        <w:gridCol w:w="2080"/>
      </w:tblGrid>
      <w:tr>
        <w:tc>
          <w:tcPr>
            <w:tcW w:type="dxa" w:w="312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color w:val="FFFFFF"/>
                <w:sz w:val="18"/>
                <w:szCs w:val="18"/>
              </w:rPr>
              <w:t xml:space="preserve">Threshold / Size</w:t>
            </w:r>
          </w:p>
        </w:tc>
        <w:tc>
          <w:tcPr>
            <w:tcW w:type="dxa" w:w="20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color w:val="FFFFFF"/>
                <w:sz w:val="18"/>
                <w:szCs w:val="18"/>
              </w:rPr>
              <w:t xml:space="preserve">Empirical</w:t>
            </w:r>
          </w:p>
        </w:tc>
        <w:tc>
          <w:tcPr>
            <w:tcW w:type="dxa" w:w="20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color w:val="FFFFFF"/>
                <w:sz w:val="18"/>
                <w:szCs w:val="18"/>
              </w:rPr>
              <w:t xml:space="preserve">IID Mean</w:t>
            </w:r>
          </w:p>
        </w:tc>
        <w:tc>
          <w:tcPr>
            <w:tcW w:type="dxa" w:w="2080"/>
            <w:tcBorders>
              <w:top w:val="single" w:color="CCCCCC" w:sz="1"/>
              <w:left w:val="single" w:color="CCCCCC" w:sz="1"/>
              <w:bottom w:val="single" w:color="CCCCCC" w:sz="1"/>
              <w:right w:val="single" w:color="CCCCCC" w:sz="1"/>
            </w:tcBorders>
            <w:shd w:fill="1F4E79" w:val="clear"/>
            <w:tcMar>
              <w:top w:type="dxa" w:w="80"/>
              <w:left w:type="dxa" w:w="120"/>
              <w:bottom w:type="dxa" w:w="80"/>
              <w:right w:type="dxa" w:w="120"/>
            </w:tcMar>
          </w:tcPr>
          <w:p>
            <w:r>
              <w:rPr>
                <w:rFonts w:ascii="Arial" w:cs="Arial" w:eastAsia="Arial" w:hAnsi="Arial"/>
                <w:b/>
                <w:color w:val="FFFFFF"/>
                <w:sz w:val="18"/>
                <w:szCs w:val="18"/>
              </w:rPr>
              <w:t xml:space="preserve">Z-score</w:t>
            </w:r>
          </w:p>
        </w:tc>
      </w:tr>
      <w:tr>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18"/>
                <w:szCs w:val="18"/>
              </w:rPr>
              <w:t xml:space="preserve">Size = 15 (exact)</w:t>
            </w:r>
          </w:p>
        </w:tc>
        <w:tc>
          <w:tcPr>
            <w:tcW w:type="dxa" w:w="2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18"/>
                <w:szCs w:val="18"/>
              </w:rPr>
              <w:t xml:space="preserve">28</w:t>
            </w:r>
          </w:p>
        </w:tc>
        <w:tc>
          <w:tcPr>
            <w:tcW w:type="dxa" w:w="2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18"/>
                <w:szCs w:val="18"/>
              </w:rPr>
              <w:t xml:space="preserve">20.8</w:t>
            </w:r>
          </w:p>
        </w:tc>
        <w:tc>
          <w:tcPr>
            <w:tcW w:type="dxa" w:w="2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b/>
                <w:sz w:val="18"/>
                <w:szCs w:val="18"/>
              </w:rPr>
              <w:t xml:space="preserve">+3.432 ***</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18"/>
                <w:szCs w:val="18"/>
              </w:rPr>
              <w:t xml:space="preserve">Clusters ≥ 15</w:t>
            </w:r>
          </w:p>
        </w:tc>
        <w:tc>
          <w:tcPr>
            <w:tcW w:type="dxa" w:w="20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18"/>
                <w:szCs w:val="18"/>
              </w:rPr>
              <w:t xml:space="preserve">131</w:t>
            </w:r>
          </w:p>
        </w:tc>
        <w:tc>
          <w:tcPr>
            <w:tcW w:type="dxa" w:w="20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18"/>
                <w:szCs w:val="18"/>
              </w:rPr>
              <w:t xml:space="preserve">116.8</w:t>
            </w:r>
          </w:p>
        </w:tc>
        <w:tc>
          <w:tcPr>
            <w:tcW w:type="dxa" w:w="20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b/>
                <w:sz w:val="18"/>
                <w:szCs w:val="18"/>
              </w:rPr>
              <w:t xml:space="preserve">+2.421 **</w:t>
            </w:r>
          </w:p>
        </w:tc>
      </w:tr>
      <w:tr>
        <w:tc>
          <w:tcPr>
            <w:tcW w:type="dxa" w:w="312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18"/>
                <w:szCs w:val="18"/>
              </w:rPr>
              <w:t xml:space="preserve">Size = 24 (exact)</w:t>
            </w:r>
          </w:p>
        </w:tc>
        <w:tc>
          <w:tcPr>
            <w:tcW w:type="dxa" w:w="2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18"/>
                <w:szCs w:val="18"/>
              </w:rPr>
              <w:t xml:space="preserve">7</w:t>
            </w:r>
          </w:p>
        </w:tc>
        <w:tc>
          <w:tcPr>
            <w:tcW w:type="dxa" w:w="2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18"/>
                <w:szCs w:val="18"/>
              </w:rPr>
              <w:t xml:space="preserve">3.1</w:t>
            </w:r>
          </w:p>
        </w:tc>
        <w:tc>
          <w:tcPr>
            <w:tcW w:type="dxa" w:w="208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Arial" w:cs="Arial" w:eastAsia="Arial" w:hAnsi="Arial"/>
                <w:sz w:val="18"/>
                <w:szCs w:val="18"/>
              </w:rPr>
              <w:t xml:space="preserve">+2.345 **</w:t>
            </w:r>
          </w:p>
        </w:tc>
      </w:tr>
      <w:tr>
        <w:tc>
          <w:tcPr>
            <w:tcW w:type="dxa" w:w="312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18"/>
                <w:szCs w:val="18"/>
              </w:rPr>
              <w:t xml:space="preserve">Size = 31 (exact)</w:t>
            </w:r>
          </w:p>
        </w:tc>
        <w:tc>
          <w:tcPr>
            <w:tcW w:type="dxa" w:w="20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18"/>
                <w:szCs w:val="18"/>
              </w:rPr>
              <w:t xml:space="preserve">3</w:t>
            </w:r>
          </w:p>
        </w:tc>
        <w:tc>
          <w:tcPr>
            <w:tcW w:type="dxa" w:w="20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18"/>
                <w:szCs w:val="18"/>
              </w:rPr>
              <w:t xml:space="preserve">1.1</w:t>
            </w:r>
          </w:p>
        </w:tc>
        <w:tc>
          <w:tcPr>
            <w:tcW w:type="dxa" w:w="2080"/>
            <w:tcBorders>
              <w:top w:val="single" w:color="CCCCCC" w:sz="1"/>
              <w:left w:val="single" w:color="CCCCCC" w:sz="1"/>
              <w:bottom w:val="single" w:color="CCCCCC" w:sz="1"/>
              <w:right w:val="single" w:color="CCCCCC" w:sz="1"/>
            </w:tcBorders>
            <w:shd w:fill="D6E4F0" w:val="clear"/>
            <w:tcMar>
              <w:top w:type="dxa" w:w="80"/>
              <w:left w:type="dxa" w:w="120"/>
              <w:bottom w:type="dxa" w:w="80"/>
              <w:right w:type="dxa" w:w="120"/>
            </w:tcMar>
          </w:tcPr>
          <w:p>
            <w:r>
              <w:rPr>
                <w:rFonts w:ascii="Arial" w:cs="Arial" w:eastAsia="Arial" w:hAnsi="Arial"/>
                <w:sz w:val="18"/>
                <w:szCs w:val="18"/>
              </w:rPr>
              <w:t xml:space="preserve">+2.170 **</w:t>
            </w:r>
          </w:p>
        </w:tc>
      </w:tr>
    </w:tbl>
    <w:p>
      <w:pPr>
        <w:spacing w:after="80" w:before="80"/>
      </w:pPr>
      <w:r>
        <w:t xml:space="preserve"/>
      </w:r>
    </w:p>
    <w:p>
      <w:pPr>
        <w:pStyle w:val="Heading2"/>
        <w:spacing w:after="180" w:before="180"/>
        <w:outlineLvl w:val="1"/>
      </w:pPr>
      <w:r>
        <w:rPr>
          <w:rFonts w:ascii="Arial" w:cs="Arial" w:eastAsia="Arial" w:hAnsi="Arial"/>
          <w:b/>
          <w:sz w:val="28"/>
          <w:szCs w:val="28"/>
        </w:rPr>
        <w:t xml:space="preserve">21.4 Logical Grounding</w:t>
      </w:r>
    </w:p>
    <w:p>
      <w:pPr>
        <w:spacing w:after="160" w:before="80"/>
      </w:pPr>
      <w:r>
        <w:rPr>
          <w:rFonts w:ascii="Arial" w:cs="Arial" w:eastAsia="Arial" w:hAnsi="Arial"/>
          <w:sz w:val="22"/>
          <w:szCs w:val="22"/>
        </w:rPr>
        <w:t xml:space="preserve">The cluster frequency finding is not independent of the prior twelve findings — it is a geometric consequence of them. F8 establishes that adjacent numbers co-appear in consecutive draws at a 21% excess rate, creating spatial persistence. F1 establishes that the system actively manages coherence state through a feedback mechanism, producing sustained HIGH coherence runs as a control product. F4 establishes that variance is suppressed across 20 simultaneous independent balancing channels — a coordination structure that operates continuously across draw sequences and is inconsistent with abrupt, IID-length transitions between coherence states. Together, these three findings predict that sustained HIGH coherence cluster runs should exceed IID frequency at the medium-to-large size range. The null test confirmed that prediction. The cluster frequency elevation is the spatial-temporal fingerprint of the coherence control mechanism operating at run-sequence scale.</w:t>
      </w:r>
    </w:p>
    <w:p>
      <w:pPr>
        <w:spacing w:after="80" w:before="80"/>
      </w:pPr>
      <w:r>
        <w:t xml:space="preserve"/>
      </w:r>
    </w:p>
    <w:p>
      <w:pPr>
        <w:pBdr>
          <w:bottom w:val="single" w:color="1F4E79" w:sz="6" w:space="1"/>
        </w:pBdr>
        <w:spacing w:after="120" w:before="120"/>
      </w:pPr>
    </w:p>
    <w:p>
      <w:pPr>
        <w:spacing w:after="80" w:before="80"/>
      </w:pPr>
      <w:r>
        <w:t xml:space="preserve"/>
      </w:r>
    </w:p>
    <w:p>
      <w:pPr>
        <w:spacing w:after="80" w:before="80"/>
        <w:jc w:val="left"/>
      </w:pPr>
      <w:r>
        <w:rPr>
          <w:rFonts w:ascii="Arial" w:cs="Arial" w:eastAsia="Arial" w:hAnsi="Arial"/>
          <w:b/>
          <w:bCs/>
          <w:i w:val="false"/>
          <w:iCs w:val="false"/>
          <w:color w:val="000000"/>
          <w:sz w:val="22"/>
          <w:szCs w:val="22"/>
        </w:rPr>
        <w:t xml:space="preserve">Paul Bryant Van Slyke</w:t>
      </w:r>
    </w:p>
    <w:p>
      <w:pPr>
        <w:spacing w:after="80" w:before="80"/>
        <w:jc w:val="left"/>
      </w:pPr>
      <w:r>
        <w:rPr>
          <w:rFonts w:ascii="Arial" w:cs="Arial" w:eastAsia="Arial" w:hAnsi="Arial"/>
          <w:b w:val="false"/>
          <w:bCs w:val="false"/>
          <w:i w:val="false"/>
          <w:iCs w:val="false"/>
          <w:color w:val="000000"/>
          <w:sz w:val="22"/>
          <w:szCs w:val="22"/>
        </w:rPr>
        <w:t xml:space="preserve">Natural Organization Institute</w:t>
      </w:r>
    </w:p>
    <w:p>
      <w:pPr>
        <w:spacing w:after="80" w:before="80"/>
        <w:jc w:val="left"/>
      </w:pPr>
      <w:r>
        <w:rPr>
          <w:rFonts w:ascii="Arial" w:cs="Arial" w:eastAsia="Arial" w:hAnsi="Arial"/>
          <w:b w:val="false"/>
          <w:bCs w:val="false"/>
          <w:i w:val="false"/>
          <w:iCs w:val="false"/>
          <w:color w:val="000000"/>
          <w:sz w:val="22"/>
          <w:szCs w:val="22"/>
        </w:rPr>
        <w:t xml:space="preserve">Lyons, Colorado</w:t>
      </w:r>
    </w:p>
    <w:p>
      <w:pPr>
        <w:spacing w:after="80" w:before="80"/>
        <w:jc w:val="left"/>
      </w:pPr>
      <w:r>
        <w:rPr>
          <w:rFonts w:ascii="Arial" w:cs="Arial" w:eastAsia="Arial" w:hAnsi="Arial"/>
          <w:b w:val="false"/>
          <w:bCs w:val="false"/>
          <w:i w:val="false"/>
          <w:iCs w:val="false"/>
          <w:color w:val="000000"/>
          <w:sz w:val="22"/>
          <w:szCs w:val="22"/>
        </w:rPr>
        <w:t xml:space="preserve">naturalorganization.org</w:t>
      </w:r>
    </w:p>
    <w:p>
      <w:pPr>
        <w:spacing w:after="80" w:before="80"/>
        <w:jc w:val="left"/>
      </w:pPr>
      <w:r>
        <w:rPr>
          <w:rFonts w:ascii="Arial" w:cs="Arial" w:eastAsia="Arial" w:hAnsi="Arial"/>
          <w:b w:val="false"/>
          <w:bCs w:val="false"/>
          <w:i w:val="false"/>
          <w:iCs w:val="false"/>
          <w:color w:val="000000"/>
          <w:sz w:val="22"/>
          <w:szCs w:val="22"/>
        </w:rPr>
        <w:t xml:space="preserve">June 2026</w:t>
      </w:r>
    </w:p>
    <w:p>
      <w:pPr>
        <w:spacing w:after="80" w:before="80"/>
      </w:pPr>
      <w:r>
        <w:t xml:space="preserve"/>
      </w:r>
    </w:p>
    <w:p>
      <w:pPr>
        <w:spacing w:after="80" w:before="80"/>
        <w:jc w:val="left"/>
      </w:pPr>
      <w:r>
        <w:rPr>
          <w:rFonts w:ascii="Arial" w:cs="Arial" w:eastAsia="Arial" w:hAnsi="Arial"/>
          <w:b w:val="false"/>
          <w:bCs w:val="false"/>
          <w:i/>
          <w:iCs/>
          <w:color w:val="000000"/>
          <w:sz w:val="22"/>
          <w:szCs w:val="22"/>
        </w:rPr>
        <w:t xml:space="preserve">Pre-specification date: November 21, 2025</w:t>
      </w:r>
    </w:p>
    <w:p>
      <w:pPr>
        <w:spacing w:after="80" w:before="80"/>
        <w:jc w:val="left"/>
      </w:pPr>
      <w:r>
        <w:rPr>
          <w:rFonts w:ascii="Arial" w:cs="Arial" w:eastAsia="Arial" w:hAnsi="Arial"/>
          <w:b w:val="false"/>
          <w:bCs w:val="false"/>
          <w:i/>
          <w:iCs/>
          <w:color w:val="000000"/>
          <w:sz w:val="22"/>
          <w:szCs w:val="22"/>
        </w:rPr>
        <w:t xml:space="preserve">Analysis completed: February 2026</w:t>
      </w:r>
    </w:p>
    <w:p>
      <w:pPr>
        <w:spacing w:after="80" w:before="80"/>
        <w:jc w:val="left"/>
      </w:pPr>
      <w:r>
        <w:rPr>
          <w:rFonts w:ascii="Arial" w:cs="Arial" w:eastAsia="Arial" w:hAnsi="Arial"/>
          <w:b w:val="false"/>
          <w:bCs w:val="false"/>
          <w:i/>
          <w:iCs/>
          <w:color w:val="000000"/>
          <w:sz w:val="22"/>
          <w:szCs w:val="22"/>
        </w:rPr>
        <w:t xml:space="preserve">Report version: 18</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Arial" w:cs="Arial" w:eastAsia="Arial" w:hAnsi="Arial"/>
      <w:b/>
      <w:bCs/>
      <w:color w:val="1F4E79"/>
      <w:sz w:val="32"/>
      <w:szCs w:val="32"/>
    </w:rPr>
  </w:style>
  <w:style w:type="paragraph" w:styleId="Heading2">
    <w:name w:val="Heading 2"/>
    <w:basedOn w:val="Normal"/>
    <w:next w:val="Normal"/>
    <w:qFormat/>
    <w:pPr>
      <w:spacing w:after="120" w:before="240"/>
      <w:outlineLvl w:val="1"/>
    </w:pPr>
    <w:rPr>
      <w:rFonts w:ascii="Arial" w:cs="Arial" w:eastAsia="Arial" w:hAnsi="Arial"/>
      <w:b/>
      <w:bCs/>
      <w:color w:val="1F4E79"/>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2026-06-02T00:57:48.350Z</dcterms:created>
  <dcterms:modified xsi:type="dcterms:W3CDTF">2026-06-02T00:57:48.350Z</dcterms:modified>
</cp:coreProperties>
</file>

<file path=docProps/custom.xml><?xml version="1.0" encoding="utf-8"?>
<Properties xmlns="http://schemas.openxmlformats.org/officeDocument/2006/custom-properties" xmlns:vt="http://schemas.openxmlformats.org/officeDocument/2006/docPropsVTypes"/>
</file>